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Normal"/>
        <w:tblW w:w="904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959"/>
        <w:gridCol w:w="7087"/>
      </w:tblGrid>
      <w:tr w:rsidR="00C34670" w:rsidRPr="005919ED" w14:paraId="75A04A68" w14:textId="77777777" w:rsidTr="00B942A5">
        <w:trPr>
          <w:trHeight w:val="1775"/>
        </w:trPr>
        <w:tc>
          <w:tcPr>
            <w:tcW w:w="1959" w:type="dxa"/>
            <w:tcBorders>
              <w:top w:val="single" w:sz="6" w:space="0" w:color="DDDDDD"/>
              <w:left w:val="single" w:sz="6" w:space="0" w:color="DDDDDD"/>
              <w:bottom w:val="single" w:sz="6" w:space="0" w:color="DDDDDD"/>
              <w:right w:val="single" w:sz="6" w:space="0" w:color="DDDDDD"/>
            </w:tcBorders>
            <w:shd w:val="clear" w:color="auto" w:fill="FFFFFF"/>
            <w:tcMar>
              <w:top w:w="80" w:type="dxa"/>
              <w:left w:w="80" w:type="dxa"/>
              <w:bottom w:w="80" w:type="dxa"/>
              <w:right w:w="80" w:type="dxa"/>
            </w:tcMar>
            <w:vAlign w:val="center"/>
          </w:tcPr>
          <w:p w14:paraId="6FED40E4" w14:textId="77777777" w:rsidR="00C34670" w:rsidRPr="005919ED" w:rsidRDefault="00D70315">
            <w:pPr>
              <w:pStyle w:val="Default"/>
              <w:rPr>
                <w:lang w:val="en-GB"/>
              </w:rPr>
            </w:pPr>
            <w:r w:rsidRPr="005919ED">
              <w:rPr>
                <w:lang w:val="en-GB"/>
              </w:rPr>
              <w:drawing>
                <wp:inline distT="0" distB="0" distL="0" distR="0" wp14:anchorId="292FE72D" wp14:editId="2DC48164">
                  <wp:extent cx="1059303" cy="880037"/>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pasted-image.pdf"/>
                          <pic:cNvPicPr>
                            <a:picLocks noChangeAspect="1"/>
                          </pic:cNvPicPr>
                        </pic:nvPicPr>
                        <pic:blipFill>
                          <a:blip r:embed="rId7">
                            <a:extLst/>
                          </a:blip>
                          <a:stretch>
                            <a:fillRect/>
                          </a:stretch>
                        </pic:blipFill>
                        <pic:spPr>
                          <a:xfrm>
                            <a:off x="0" y="0"/>
                            <a:ext cx="1059303" cy="880037"/>
                          </a:xfrm>
                          <a:prstGeom prst="rect">
                            <a:avLst/>
                          </a:prstGeom>
                          <a:ln w="12700" cap="flat">
                            <a:noFill/>
                            <a:miter lim="400000"/>
                          </a:ln>
                          <a:effectLst/>
                        </pic:spPr>
                      </pic:pic>
                    </a:graphicData>
                  </a:graphic>
                </wp:inline>
              </w:drawing>
            </w:r>
          </w:p>
        </w:tc>
        <w:tc>
          <w:tcPr>
            <w:tcW w:w="7087" w:type="dxa"/>
            <w:tcBorders>
              <w:top w:val="single" w:sz="6" w:space="0" w:color="DDDDDD"/>
              <w:left w:val="single" w:sz="6" w:space="0" w:color="DDDDDD"/>
              <w:bottom w:val="single" w:sz="6" w:space="0" w:color="DDDDDD"/>
              <w:right w:val="single" w:sz="6" w:space="0" w:color="DDDDDD"/>
            </w:tcBorders>
            <w:shd w:val="clear" w:color="auto" w:fill="FFFFFF"/>
            <w:tcMar>
              <w:top w:w="80" w:type="dxa"/>
              <w:left w:w="80" w:type="dxa"/>
              <w:bottom w:w="80" w:type="dxa"/>
              <w:right w:w="80" w:type="dxa"/>
            </w:tcMar>
            <w:vAlign w:val="center"/>
          </w:tcPr>
          <w:p w14:paraId="7BDF5AC5" w14:textId="77777777" w:rsidR="00F5092A" w:rsidRPr="005919ED" w:rsidRDefault="00F5092A" w:rsidP="00F5092A">
            <w:pPr>
              <w:pStyle w:val="Body"/>
              <w:jc w:val="center"/>
              <w:rPr>
                <w:rFonts w:ascii="Times New Roman" w:hAnsi="Times New Roman" w:cs="Times New Roman"/>
                <w:b/>
                <w:bCs/>
                <w:lang w:val="en-GB"/>
              </w:rPr>
            </w:pPr>
            <w:r w:rsidRPr="005919ED">
              <w:rPr>
                <w:rFonts w:ascii="Times New Roman" w:hAnsi="Times New Roman" w:cs="Times New Roman"/>
                <w:b/>
                <w:bCs/>
                <w:lang w:val="en-GB"/>
              </w:rPr>
              <w:t xml:space="preserve">Learning Design patterns </w:t>
            </w:r>
          </w:p>
          <w:p w14:paraId="42AA1FCB" w14:textId="77777777" w:rsidR="00F5092A" w:rsidRPr="005919ED" w:rsidRDefault="00F5092A" w:rsidP="00F5092A">
            <w:pPr>
              <w:pStyle w:val="Body"/>
              <w:jc w:val="center"/>
              <w:rPr>
                <w:rFonts w:ascii="Times New Roman" w:hAnsi="Times New Roman" w:cs="Times New Roman"/>
                <w:lang w:val="en-GB"/>
              </w:rPr>
            </w:pPr>
            <w:r w:rsidRPr="005919ED">
              <w:rPr>
                <w:rFonts w:ascii="Times New Roman" w:hAnsi="Times New Roman" w:cs="Times New Roman"/>
                <w:b/>
                <w:bCs/>
                <w:lang w:val="en-GB"/>
              </w:rPr>
              <w:t xml:space="preserve">Centre for the advancement for university teaching </w:t>
            </w:r>
          </w:p>
          <w:p w14:paraId="13927BB3" w14:textId="77777777" w:rsidR="00C34670" w:rsidRPr="005919ED" w:rsidRDefault="00F5092A" w:rsidP="00F5092A">
            <w:pPr>
              <w:pStyle w:val="Body"/>
              <w:jc w:val="center"/>
              <w:rPr>
                <w:lang w:val="en-GB"/>
              </w:rPr>
            </w:pPr>
            <w:r w:rsidRPr="005919ED">
              <w:rPr>
                <w:rFonts w:ascii="Times New Roman" w:hAnsi="Times New Roman" w:cs="Times New Roman"/>
                <w:b/>
                <w:bCs/>
                <w:lang w:val="en-GB"/>
              </w:rPr>
              <w:t>su.se/ceul</w:t>
            </w:r>
          </w:p>
        </w:tc>
      </w:tr>
      <w:tr w:rsidR="00C34670" w:rsidRPr="005919ED" w14:paraId="099C5791" w14:textId="77777777" w:rsidTr="00B942A5">
        <w:trPr>
          <w:trHeight w:val="815"/>
        </w:trPr>
        <w:tc>
          <w:tcPr>
            <w:tcW w:w="1959" w:type="dxa"/>
            <w:tcBorders>
              <w:top w:val="single" w:sz="6" w:space="0" w:color="DDDDDD"/>
              <w:left w:val="single" w:sz="6" w:space="0" w:color="DDDDDD"/>
              <w:bottom w:val="single" w:sz="6" w:space="0" w:color="DDDDDD"/>
              <w:right w:val="single" w:sz="6" w:space="0" w:color="DDDDDD"/>
            </w:tcBorders>
            <w:shd w:val="clear" w:color="auto" w:fill="FFFFFF"/>
            <w:tcMar>
              <w:top w:w="80" w:type="dxa"/>
              <w:left w:w="80" w:type="dxa"/>
              <w:bottom w:w="80" w:type="dxa"/>
              <w:right w:w="80" w:type="dxa"/>
            </w:tcMar>
          </w:tcPr>
          <w:p w14:paraId="21536375" w14:textId="77777777" w:rsidR="00C34670" w:rsidRPr="005919ED" w:rsidRDefault="00F5092A">
            <w:pPr>
              <w:pStyle w:val="Body"/>
              <w:rPr>
                <w:lang w:val="en-GB"/>
              </w:rPr>
            </w:pPr>
            <w:r w:rsidRPr="005919ED">
              <w:rPr>
                <w:b/>
                <w:bCs/>
                <w:color w:val="333333"/>
                <w:u w:color="333333"/>
                <w:lang w:val="en-GB"/>
              </w:rPr>
              <w:t>Pattern name</w:t>
            </w:r>
          </w:p>
        </w:tc>
        <w:tc>
          <w:tcPr>
            <w:tcW w:w="7087" w:type="dxa"/>
            <w:tcBorders>
              <w:top w:val="single" w:sz="6" w:space="0" w:color="DDDDDD"/>
              <w:left w:val="single" w:sz="6" w:space="0" w:color="DDDDDD"/>
              <w:bottom w:val="single" w:sz="6" w:space="0" w:color="DDDDDD"/>
              <w:right w:val="single" w:sz="6" w:space="0" w:color="DDDDDD"/>
            </w:tcBorders>
            <w:shd w:val="clear" w:color="auto" w:fill="FFFFFF"/>
            <w:tcMar>
              <w:top w:w="80" w:type="dxa"/>
              <w:left w:w="80" w:type="dxa"/>
              <w:bottom w:w="80" w:type="dxa"/>
              <w:right w:w="80" w:type="dxa"/>
            </w:tcMar>
          </w:tcPr>
          <w:p w14:paraId="171B33BB" w14:textId="72F60865" w:rsidR="00F5092A" w:rsidRPr="005919ED" w:rsidRDefault="00FF329F" w:rsidP="00F5092A">
            <w:pPr>
              <w:pStyle w:val="Body"/>
              <w:rPr>
                <w:sz w:val="22"/>
                <w:lang w:val="en-GB"/>
              </w:rPr>
            </w:pPr>
            <w:r>
              <w:rPr>
                <w:color w:val="333333"/>
                <w:sz w:val="22"/>
                <w:u w:color="333333"/>
                <w:lang w:val="en-GB"/>
              </w:rPr>
              <w:t>Optimise</w:t>
            </w:r>
            <w:r w:rsidR="002C6D0A" w:rsidRPr="005919ED">
              <w:rPr>
                <w:color w:val="333333"/>
                <w:sz w:val="22"/>
                <w:u w:color="333333"/>
                <w:lang w:val="en-GB"/>
              </w:rPr>
              <w:t xml:space="preserve"> your course information flow</w:t>
            </w:r>
            <w:r w:rsidR="00F5092A" w:rsidRPr="005919ED">
              <w:rPr>
                <w:color w:val="333333"/>
                <w:sz w:val="22"/>
                <w:u w:color="333333"/>
                <w:lang w:val="en-GB"/>
              </w:rPr>
              <w:t xml:space="preserve"> </w:t>
            </w:r>
          </w:p>
        </w:tc>
      </w:tr>
      <w:tr w:rsidR="00C34670" w:rsidRPr="005919ED" w14:paraId="1634544F" w14:textId="77777777" w:rsidTr="00B942A5">
        <w:trPr>
          <w:trHeight w:val="1295"/>
        </w:trPr>
        <w:tc>
          <w:tcPr>
            <w:tcW w:w="1959" w:type="dxa"/>
            <w:tcBorders>
              <w:top w:val="single" w:sz="6" w:space="0" w:color="DDDDDD"/>
              <w:left w:val="single" w:sz="6" w:space="0" w:color="DDDDDD"/>
              <w:bottom w:val="single" w:sz="6" w:space="0" w:color="DDDDDD"/>
              <w:right w:val="single" w:sz="6" w:space="0" w:color="DDDDDD"/>
            </w:tcBorders>
            <w:shd w:val="clear" w:color="auto" w:fill="FFFFFF"/>
            <w:tcMar>
              <w:top w:w="80" w:type="dxa"/>
              <w:left w:w="80" w:type="dxa"/>
              <w:bottom w:w="80" w:type="dxa"/>
              <w:right w:w="80" w:type="dxa"/>
            </w:tcMar>
          </w:tcPr>
          <w:p w14:paraId="4DD805DB" w14:textId="77777777" w:rsidR="00C34670" w:rsidRPr="005919ED" w:rsidRDefault="00F5092A">
            <w:pPr>
              <w:pStyle w:val="Body"/>
              <w:rPr>
                <w:lang w:val="en-GB"/>
              </w:rPr>
            </w:pPr>
            <w:r w:rsidRPr="005919ED">
              <w:rPr>
                <w:b/>
                <w:bCs/>
                <w:color w:val="333333"/>
                <w:u w:color="333333"/>
                <w:lang w:val="en-GB"/>
              </w:rPr>
              <w:t>Context</w:t>
            </w:r>
          </w:p>
        </w:tc>
        <w:tc>
          <w:tcPr>
            <w:tcW w:w="7087" w:type="dxa"/>
            <w:tcBorders>
              <w:top w:val="single" w:sz="6" w:space="0" w:color="DDDDDD"/>
              <w:left w:val="single" w:sz="6" w:space="0" w:color="DDDDDD"/>
              <w:bottom w:val="single" w:sz="6" w:space="0" w:color="DDDDDD"/>
              <w:right w:val="single" w:sz="6" w:space="0" w:color="DDDDDD"/>
            </w:tcBorders>
            <w:shd w:val="clear" w:color="auto" w:fill="FFFFFF"/>
            <w:tcMar>
              <w:top w:w="80" w:type="dxa"/>
              <w:left w:w="80" w:type="dxa"/>
              <w:bottom w:w="80" w:type="dxa"/>
              <w:right w:w="80" w:type="dxa"/>
            </w:tcMar>
          </w:tcPr>
          <w:p w14:paraId="73657487" w14:textId="07984D31" w:rsidR="00F5092A" w:rsidRPr="005919ED" w:rsidRDefault="002C6D0A" w:rsidP="00F5092A">
            <w:pPr>
              <w:pStyle w:val="Body"/>
              <w:rPr>
                <w:sz w:val="22"/>
                <w:lang w:val="en-GB"/>
              </w:rPr>
            </w:pPr>
            <w:r w:rsidRPr="005919ED">
              <w:rPr>
                <w:sz w:val="22"/>
                <w:szCs w:val="22"/>
                <w:lang w:val="en-GB"/>
              </w:rPr>
              <w:t>You would like to ensure that all students get the same information at the same time in the Overview</w:t>
            </w:r>
            <w:r w:rsidR="00FF329F">
              <w:rPr>
                <w:sz w:val="22"/>
                <w:szCs w:val="22"/>
                <w:lang w:val="en-GB"/>
              </w:rPr>
              <w:t xml:space="preserve"> function</w:t>
            </w:r>
            <w:r w:rsidRPr="005919ED">
              <w:rPr>
                <w:sz w:val="22"/>
                <w:szCs w:val="22"/>
                <w:lang w:val="en-GB"/>
              </w:rPr>
              <w:t xml:space="preserve"> via the course page in Athena.</w:t>
            </w:r>
            <w:r w:rsidRPr="005919ED">
              <w:rPr>
                <w:sz w:val="22"/>
                <w:szCs w:val="22"/>
                <w:lang w:val="en-GB"/>
              </w:rPr>
              <w:t> </w:t>
            </w:r>
          </w:p>
        </w:tc>
      </w:tr>
      <w:tr w:rsidR="00C34670" w:rsidRPr="005919ED" w14:paraId="3149FC1E" w14:textId="77777777" w:rsidTr="00B942A5">
        <w:trPr>
          <w:trHeight w:val="889"/>
        </w:trPr>
        <w:tc>
          <w:tcPr>
            <w:tcW w:w="1959" w:type="dxa"/>
            <w:tcBorders>
              <w:top w:val="single" w:sz="6" w:space="0" w:color="DDDDDD"/>
              <w:left w:val="single" w:sz="6" w:space="0" w:color="DDDDDD"/>
              <w:bottom w:val="single" w:sz="6" w:space="0" w:color="DDDDDD"/>
              <w:right w:val="single" w:sz="6" w:space="0" w:color="DDDDDD"/>
            </w:tcBorders>
            <w:shd w:val="clear" w:color="auto" w:fill="FFFFFF"/>
            <w:tcMar>
              <w:top w:w="80" w:type="dxa"/>
              <w:left w:w="80" w:type="dxa"/>
              <w:bottom w:w="80" w:type="dxa"/>
              <w:right w:w="80" w:type="dxa"/>
            </w:tcMar>
          </w:tcPr>
          <w:p w14:paraId="70931883" w14:textId="77777777" w:rsidR="00C34670" w:rsidRPr="005919ED" w:rsidRDefault="00D70315">
            <w:pPr>
              <w:pStyle w:val="Body"/>
              <w:rPr>
                <w:lang w:val="en-GB"/>
              </w:rPr>
            </w:pPr>
            <w:r w:rsidRPr="005919ED">
              <w:rPr>
                <w:b/>
                <w:bCs/>
                <w:color w:val="333333"/>
                <w:u w:color="333333"/>
                <w:lang w:val="en-GB"/>
              </w:rPr>
              <w:t>Problem</w:t>
            </w:r>
          </w:p>
        </w:tc>
        <w:tc>
          <w:tcPr>
            <w:tcW w:w="7087" w:type="dxa"/>
            <w:tcBorders>
              <w:top w:val="single" w:sz="6" w:space="0" w:color="DDDDDD"/>
              <w:left w:val="single" w:sz="6" w:space="0" w:color="DDDDDD"/>
              <w:bottom w:val="single" w:sz="6" w:space="0" w:color="DDDDDD"/>
              <w:right w:val="single" w:sz="6" w:space="0" w:color="DDDDDD"/>
            </w:tcBorders>
            <w:shd w:val="clear" w:color="auto" w:fill="FFFFFF"/>
            <w:tcMar>
              <w:top w:w="80" w:type="dxa"/>
              <w:left w:w="80" w:type="dxa"/>
              <w:bottom w:w="80" w:type="dxa"/>
              <w:right w:w="80" w:type="dxa"/>
            </w:tcMar>
          </w:tcPr>
          <w:p w14:paraId="5620542C" w14:textId="78D613EF" w:rsidR="00F5092A" w:rsidRPr="005919ED" w:rsidRDefault="006936B5">
            <w:pPr>
              <w:pStyle w:val="Default"/>
              <w:tabs>
                <w:tab w:val="left" w:pos="720"/>
                <w:tab w:val="left" w:pos="1440"/>
                <w:tab w:val="left" w:pos="2160"/>
                <w:tab w:val="left" w:pos="2880"/>
                <w:tab w:val="left" w:pos="3600"/>
                <w:tab w:val="left" w:pos="4320"/>
                <w:tab w:val="left" w:pos="5040"/>
                <w:tab w:val="left" w:pos="5760"/>
                <w:tab w:val="left" w:pos="6480"/>
              </w:tabs>
              <w:spacing w:line="360" w:lineRule="auto"/>
              <w:rPr>
                <w:rFonts w:ascii="Palatino" w:hAnsi="Palatino"/>
                <w:color w:val="333333"/>
                <w:szCs w:val="24"/>
                <w:shd w:val="clear" w:color="auto" w:fill="FFFFFF"/>
                <w:lang w:val="en-GB"/>
              </w:rPr>
            </w:pPr>
            <w:r w:rsidRPr="005919ED">
              <w:rPr>
                <w:rFonts w:ascii="Palatino" w:hAnsi="Palatino"/>
                <w:color w:val="333333"/>
                <w:szCs w:val="24"/>
                <w:shd w:val="clear" w:color="auto" w:fill="FFFFFF"/>
                <w:lang w:val="en-GB"/>
              </w:rPr>
              <w:t>Important information gets lost easily in the information flow (i.e. the display of course activities visible with the ‘Overview’ on the course page) in Athena, especially for students assigned to multiple courses.  Some students also struggle keeping up-to-date with course activities that require them to log in to find new information about the course unless they get a personal notification that something is going on.</w:t>
            </w:r>
          </w:p>
        </w:tc>
      </w:tr>
      <w:tr w:rsidR="00C34670" w:rsidRPr="005919ED" w14:paraId="38476FD4" w14:textId="77777777" w:rsidTr="00B942A5">
        <w:trPr>
          <w:trHeight w:val="2735"/>
        </w:trPr>
        <w:tc>
          <w:tcPr>
            <w:tcW w:w="1959" w:type="dxa"/>
            <w:tcBorders>
              <w:top w:val="single" w:sz="6" w:space="0" w:color="DDDDDD"/>
              <w:left w:val="single" w:sz="6" w:space="0" w:color="DDDDDD"/>
              <w:bottom w:val="single" w:sz="6" w:space="0" w:color="DDDDDD"/>
              <w:right w:val="single" w:sz="6" w:space="0" w:color="DDDDDD"/>
            </w:tcBorders>
            <w:shd w:val="clear" w:color="auto" w:fill="FFFFFF"/>
            <w:tcMar>
              <w:top w:w="80" w:type="dxa"/>
              <w:left w:w="80" w:type="dxa"/>
              <w:bottom w:w="80" w:type="dxa"/>
              <w:right w:w="80" w:type="dxa"/>
            </w:tcMar>
          </w:tcPr>
          <w:p w14:paraId="7E59E675" w14:textId="1757641E" w:rsidR="00C34670" w:rsidRPr="005919ED" w:rsidRDefault="007A1927">
            <w:pPr>
              <w:pStyle w:val="Body"/>
              <w:rPr>
                <w:lang w:val="en-GB"/>
              </w:rPr>
            </w:pPr>
            <w:r w:rsidRPr="005919ED">
              <w:rPr>
                <w:b/>
                <w:bCs/>
                <w:color w:val="333333"/>
                <w:u w:color="333333"/>
                <w:lang w:val="en-GB"/>
              </w:rPr>
              <w:t>Solution</w:t>
            </w:r>
          </w:p>
        </w:tc>
        <w:tc>
          <w:tcPr>
            <w:tcW w:w="7087" w:type="dxa"/>
            <w:tcBorders>
              <w:top w:val="single" w:sz="6" w:space="0" w:color="DDDDDD"/>
              <w:left w:val="single" w:sz="6" w:space="0" w:color="DDDDDD"/>
              <w:bottom w:val="single" w:sz="6" w:space="0" w:color="DDDDDD"/>
              <w:right w:val="single" w:sz="6" w:space="0" w:color="DDDDDD"/>
            </w:tcBorders>
            <w:shd w:val="clear" w:color="auto" w:fill="FFFFFF"/>
            <w:tcMar>
              <w:top w:w="80" w:type="dxa"/>
              <w:left w:w="80" w:type="dxa"/>
              <w:bottom w:w="80" w:type="dxa"/>
              <w:right w:w="80" w:type="dxa"/>
            </w:tcMar>
          </w:tcPr>
          <w:p w14:paraId="65324870" w14:textId="77777777" w:rsidR="007A75FF" w:rsidRPr="005919ED" w:rsidRDefault="006936B5">
            <w:pPr>
              <w:pStyle w:val="Body"/>
              <w:rPr>
                <w:b/>
                <w:sz w:val="22"/>
                <w:lang w:val="en-GB"/>
              </w:rPr>
            </w:pPr>
            <w:r w:rsidRPr="005919ED">
              <w:rPr>
                <w:b/>
                <w:sz w:val="22"/>
                <w:lang w:val="en-GB"/>
              </w:rPr>
              <w:t>Using the built-in information flow via ‘Plans’ in Athena</w:t>
            </w:r>
          </w:p>
          <w:p w14:paraId="020ECBE9" w14:textId="77777777" w:rsidR="00A81A10" w:rsidRPr="005919ED" w:rsidRDefault="00A81A10" w:rsidP="007A75FF">
            <w:pPr>
              <w:pStyle w:val="Body"/>
              <w:numPr>
                <w:ilvl w:val="0"/>
                <w:numId w:val="1"/>
              </w:numPr>
              <w:rPr>
                <w:sz w:val="22"/>
                <w:lang w:val="en-GB"/>
              </w:rPr>
            </w:pPr>
            <w:r w:rsidRPr="005919ED">
              <w:rPr>
                <w:sz w:val="22"/>
                <w:lang w:val="en-GB"/>
              </w:rPr>
              <w:t>Use the planning function to set up your course structure in ‘modules’ (one module per week, for example) based on themes or intended progress.</w:t>
            </w:r>
          </w:p>
          <w:p w14:paraId="36AB0DE5" w14:textId="77777777" w:rsidR="00D35464" w:rsidRPr="005919ED" w:rsidRDefault="00D35464" w:rsidP="007A75FF">
            <w:pPr>
              <w:pStyle w:val="Body"/>
              <w:numPr>
                <w:ilvl w:val="0"/>
                <w:numId w:val="1"/>
              </w:numPr>
              <w:rPr>
                <w:sz w:val="22"/>
                <w:lang w:val="en-GB"/>
              </w:rPr>
            </w:pPr>
            <w:r w:rsidRPr="005919ED">
              <w:rPr>
                <w:sz w:val="22"/>
                <w:lang w:val="en-GB"/>
              </w:rPr>
              <w:t>Make sure to add the resources or activities to the respective module where they should be used or completed.</w:t>
            </w:r>
          </w:p>
          <w:p w14:paraId="59EB155B" w14:textId="270021F6" w:rsidR="00C34670" w:rsidRPr="005919ED" w:rsidRDefault="00D35464" w:rsidP="007A75FF">
            <w:pPr>
              <w:pStyle w:val="Body"/>
              <w:numPr>
                <w:ilvl w:val="0"/>
                <w:numId w:val="1"/>
              </w:numPr>
              <w:rPr>
                <w:sz w:val="22"/>
                <w:lang w:val="en-GB"/>
              </w:rPr>
            </w:pPr>
            <w:r w:rsidRPr="005919ED">
              <w:rPr>
                <w:sz w:val="22"/>
                <w:lang w:val="en-GB"/>
              </w:rPr>
              <w:t xml:space="preserve">Set dates for each module to activate them according to the course schedule. </w:t>
            </w:r>
          </w:p>
          <w:p w14:paraId="4B2398C8" w14:textId="26BEB3EB" w:rsidR="00D35464" w:rsidRPr="005919ED" w:rsidRDefault="00D35464" w:rsidP="007A75FF">
            <w:pPr>
              <w:pStyle w:val="Body"/>
              <w:numPr>
                <w:ilvl w:val="0"/>
                <w:numId w:val="1"/>
              </w:numPr>
              <w:rPr>
                <w:sz w:val="22"/>
                <w:lang w:val="en-GB"/>
              </w:rPr>
            </w:pPr>
            <w:r w:rsidRPr="005919ED">
              <w:rPr>
                <w:sz w:val="22"/>
                <w:lang w:val="en-GB"/>
              </w:rPr>
              <w:t xml:space="preserve">Each course module will be automatically activated on the date you added as a starting point. This will show at the top of the </w:t>
            </w:r>
            <w:r w:rsidR="00841DB4" w:rsidRPr="005919ED">
              <w:rPr>
                <w:sz w:val="22"/>
                <w:lang w:val="en-GB"/>
              </w:rPr>
              <w:t xml:space="preserve">‘Overview’ and the students can easily get going by clicking the ‘Start’ button to open the </w:t>
            </w:r>
            <w:r w:rsidR="004E054D" w:rsidRPr="005919ED">
              <w:rPr>
                <w:sz w:val="22"/>
                <w:lang w:val="en-GB"/>
              </w:rPr>
              <w:t>step-by-step flow of the module to complete it.</w:t>
            </w:r>
          </w:p>
          <w:p w14:paraId="2A63D2F3" w14:textId="77777777" w:rsidR="004E054D" w:rsidRPr="005919ED" w:rsidRDefault="004E054D" w:rsidP="004E054D">
            <w:pPr>
              <w:pStyle w:val="Body"/>
              <w:rPr>
                <w:sz w:val="22"/>
                <w:lang w:val="en-GB"/>
              </w:rPr>
            </w:pPr>
          </w:p>
          <w:p w14:paraId="63CD9465" w14:textId="60C2C09B" w:rsidR="004E054D" w:rsidRPr="005919ED" w:rsidRDefault="004E054D" w:rsidP="004E054D">
            <w:pPr>
              <w:pStyle w:val="Body"/>
              <w:rPr>
                <w:b/>
                <w:sz w:val="22"/>
                <w:lang w:val="en-GB"/>
              </w:rPr>
            </w:pPr>
            <w:r w:rsidRPr="005919ED">
              <w:rPr>
                <w:b/>
                <w:sz w:val="22"/>
                <w:lang w:val="en-GB"/>
              </w:rPr>
              <w:t>Using ‘Bulletins’ as an addition to the built-in information flow</w:t>
            </w:r>
          </w:p>
          <w:p w14:paraId="7D08F524" w14:textId="560DE9D8" w:rsidR="004E054D" w:rsidRPr="005919ED" w:rsidRDefault="004E054D" w:rsidP="004E054D">
            <w:pPr>
              <w:pStyle w:val="Body"/>
              <w:numPr>
                <w:ilvl w:val="0"/>
                <w:numId w:val="3"/>
              </w:numPr>
              <w:rPr>
                <w:sz w:val="22"/>
                <w:lang w:val="en-GB"/>
              </w:rPr>
            </w:pPr>
            <w:r w:rsidRPr="005919ED">
              <w:rPr>
                <w:sz w:val="22"/>
                <w:lang w:val="en-GB"/>
              </w:rPr>
              <w:t>The ‘Bulletin’ function allows you to further highlight the required action for each course step, ensuring that the students don’t miss out or get information too late to complete assignments on time.</w:t>
            </w:r>
          </w:p>
          <w:p w14:paraId="161E2497" w14:textId="0196CC0B" w:rsidR="004E054D" w:rsidRPr="005919ED" w:rsidRDefault="004E054D" w:rsidP="004E054D">
            <w:pPr>
              <w:pStyle w:val="Body"/>
              <w:numPr>
                <w:ilvl w:val="0"/>
                <w:numId w:val="3"/>
              </w:numPr>
              <w:rPr>
                <w:sz w:val="22"/>
                <w:lang w:val="en-GB"/>
              </w:rPr>
            </w:pPr>
            <w:r w:rsidRPr="005919ED">
              <w:rPr>
                <w:sz w:val="22"/>
                <w:lang w:val="en-GB"/>
              </w:rPr>
              <w:t xml:space="preserve">Plan the flow by adding manual notifications at the beginning of each course step, or prepare and schedule updates to show </w:t>
            </w:r>
            <w:r w:rsidR="004E5AB1" w:rsidRPr="005919ED">
              <w:rPr>
                <w:sz w:val="22"/>
                <w:lang w:val="en-GB"/>
              </w:rPr>
              <w:t>at a given time relevant to the course schedule.</w:t>
            </w:r>
          </w:p>
          <w:p w14:paraId="10827C6C" w14:textId="47C7AE70" w:rsidR="004E5AB1" w:rsidRPr="005919ED" w:rsidRDefault="004E5AB1" w:rsidP="004E054D">
            <w:pPr>
              <w:pStyle w:val="Body"/>
              <w:numPr>
                <w:ilvl w:val="0"/>
                <w:numId w:val="3"/>
              </w:numPr>
              <w:rPr>
                <w:sz w:val="22"/>
                <w:lang w:val="en-GB"/>
              </w:rPr>
            </w:pPr>
            <w:r w:rsidRPr="005919ED">
              <w:rPr>
                <w:sz w:val="22"/>
                <w:lang w:val="en-GB"/>
              </w:rPr>
              <w:lastRenderedPageBreak/>
              <w:t>Add links to activities or resources that you want to remind the students about to encourage them to engage in the desired activities. The students will get individual alerts in the app or via e-mail when the bulletin is published (depending on their personal settings in Athena) about what you expect them to do next.</w:t>
            </w:r>
          </w:p>
          <w:p w14:paraId="2A9F31D5" w14:textId="57A23CA0" w:rsidR="00C34670" w:rsidRPr="005919ED" w:rsidRDefault="00C34670">
            <w:pPr>
              <w:pStyle w:val="Body"/>
              <w:rPr>
                <w:lang w:val="en-GB"/>
              </w:rPr>
            </w:pPr>
          </w:p>
        </w:tc>
      </w:tr>
      <w:tr w:rsidR="00C34670" w:rsidRPr="005919ED" w14:paraId="142309A1" w14:textId="77777777" w:rsidTr="00B942A5">
        <w:trPr>
          <w:trHeight w:val="1295"/>
        </w:trPr>
        <w:tc>
          <w:tcPr>
            <w:tcW w:w="1959" w:type="dxa"/>
            <w:tcBorders>
              <w:top w:val="single" w:sz="6" w:space="0" w:color="DDDDDD"/>
              <w:left w:val="single" w:sz="6" w:space="0" w:color="DDDDDD"/>
              <w:bottom w:val="single" w:sz="6" w:space="0" w:color="DDDDDD"/>
              <w:right w:val="single" w:sz="6" w:space="0" w:color="DDDDDD"/>
            </w:tcBorders>
            <w:shd w:val="clear" w:color="auto" w:fill="FFFFFF"/>
            <w:tcMar>
              <w:top w:w="80" w:type="dxa"/>
              <w:left w:w="80" w:type="dxa"/>
              <w:bottom w:w="80" w:type="dxa"/>
              <w:right w:w="80" w:type="dxa"/>
            </w:tcMar>
          </w:tcPr>
          <w:p w14:paraId="2799DB61" w14:textId="734BD621" w:rsidR="00C34670" w:rsidRPr="005919ED" w:rsidRDefault="007A1927">
            <w:pPr>
              <w:pStyle w:val="Body"/>
              <w:rPr>
                <w:lang w:val="en-GB"/>
              </w:rPr>
            </w:pPr>
            <w:r w:rsidRPr="005919ED">
              <w:rPr>
                <w:b/>
                <w:bCs/>
                <w:lang w:val="en-GB"/>
              </w:rPr>
              <w:lastRenderedPageBreak/>
              <w:t>Consequences and implications</w:t>
            </w:r>
          </w:p>
        </w:tc>
        <w:tc>
          <w:tcPr>
            <w:tcW w:w="7087" w:type="dxa"/>
            <w:tcBorders>
              <w:top w:val="single" w:sz="6" w:space="0" w:color="DDDDDD"/>
              <w:left w:val="single" w:sz="6" w:space="0" w:color="DDDDDD"/>
              <w:bottom w:val="single" w:sz="6" w:space="0" w:color="DDDDDD"/>
              <w:right w:val="single" w:sz="6" w:space="0" w:color="DDDDDD"/>
            </w:tcBorders>
            <w:shd w:val="clear" w:color="auto" w:fill="FFFFFF"/>
            <w:tcMar>
              <w:top w:w="80" w:type="dxa"/>
              <w:left w:w="80" w:type="dxa"/>
              <w:bottom w:w="80" w:type="dxa"/>
              <w:right w:w="80" w:type="dxa"/>
            </w:tcMar>
          </w:tcPr>
          <w:p w14:paraId="5AA65053" w14:textId="561E6C30" w:rsidR="00931EEE" w:rsidRPr="005919ED" w:rsidRDefault="00DF4AF3" w:rsidP="00931EEE">
            <w:pPr>
              <w:pStyle w:val="Body"/>
              <w:rPr>
                <w:sz w:val="22"/>
                <w:lang w:val="en-GB"/>
              </w:rPr>
            </w:pPr>
            <w:r w:rsidRPr="005919ED">
              <w:rPr>
                <w:sz w:val="22"/>
                <w:lang w:val="en-GB"/>
              </w:rPr>
              <w:t xml:space="preserve">This workflow will encourage </w:t>
            </w:r>
            <w:r w:rsidR="005919ED" w:rsidRPr="005919ED">
              <w:rPr>
                <w:sz w:val="22"/>
                <w:lang w:val="en-GB"/>
              </w:rPr>
              <w:t xml:space="preserve">students to </w:t>
            </w:r>
            <w:r w:rsidR="00FF329F">
              <w:rPr>
                <w:sz w:val="22"/>
                <w:lang w:val="en-GB"/>
              </w:rPr>
              <w:t xml:space="preserve">follow </w:t>
            </w:r>
            <w:r w:rsidR="005919ED" w:rsidRPr="005919ED">
              <w:rPr>
                <w:sz w:val="22"/>
                <w:lang w:val="en-GB"/>
              </w:rPr>
              <w:t>the intended study pace and keep track of relevant activities for each course module, like assignments and tasks. However, this will also require that you give clear instructions in each update, and that the course introduction includes a description of your method (i.e. ‘I will send regular updates as bulletins’) and where they can easily find new information.</w:t>
            </w:r>
          </w:p>
          <w:p w14:paraId="64AF234D" w14:textId="192134E5" w:rsidR="005919ED" w:rsidRPr="005919ED" w:rsidRDefault="005919ED" w:rsidP="00DF4AF3">
            <w:pPr>
              <w:pStyle w:val="Body"/>
              <w:rPr>
                <w:sz w:val="22"/>
                <w:lang w:val="en-GB"/>
              </w:rPr>
            </w:pPr>
          </w:p>
          <w:p w14:paraId="29F6E945" w14:textId="48992BF4" w:rsidR="005919ED" w:rsidRPr="005919ED" w:rsidRDefault="005919ED" w:rsidP="00DF4AF3">
            <w:pPr>
              <w:pStyle w:val="Body"/>
              <w:rPr>
                <w:sz w:val="22"/>
                <w:lang w:val="en-GB"/>
              </w:rPr>
            </w:pPr>
            <w:r w:rsidRPr="005919ED">
              <w:rPr>
                <w:sz w:val="22"/>
                <w:lang w:val="en-GB"/>
              </w:rPr>
              <w:t>If you use the ‘Plan’ function to organise your course</w:t>
            </w:r>
            <w:r w:rsidR="00FF329F">
              <w:rPr>
                <w:sz w:val="22"/>
                <w:lang w:val="en-GB"/>
              </w:rPr>
              <w:t>.</w:t>
            </w:r>
            <w:r>
              <w:rPr>
                <w:sz w:val="22"/>
                <w:lang w:val="en-GB"/>
              </w:rPr>
              <w:t xml:space="preserve"> Note that the manual updates via the bulletin will appear just below the standard block with the scheduled assignments. However, the notifications may help the students to find them anyway.</w:t>
            </w:r>
          </w:p>
          <w:p w14:paraId="5E2563C4" w14:textId="77777777" w:rsidR="00DF4AF3" w:rsidRPr="005919ED" w:rsidRDefault="00DF4AF3" w:rsidP="00DF4AF3">
            <w:pPr>
              <w:pStyle w:val="Body"/>
              <w:rPr>
                <w:sz w:val="22"/>
                <w:szCs w:val="22"/>
                <w:lang w:val="en-GB"/>
              </w:rPr>
            </w:pPr>
          </w:p>
          <w:p w14:paraId="07F612A5" w14:textId="4379E320" w:rsidR="00DF4AF3" w:rsidRPr="005919ED" w:rsidRDefault="005919ED" w:rsidP="00DF4AF3">
            <w:pPr>
              <w:pStyle w:val="Body"/>
              <w:rPr>
                <w:sz w:val="22"/>
                <w:szCs w:val="22"/>
                <w:lang w:val="en-GB"/>
              </w:rPr>
            </w:pPr>
            <w:r>
              <w:rPr>
                <w:sz w:val="22"/>
                <w:szCs w:val="22"/>
                <w:lang w:val="en-GB"/>
              </w:rPr>
              <w:t>If you are not using the ‘Plan’ function to organise your course</w:t>
            </w:r>
            <w:r w:rsidR="00FF329F">
              <w:rPr>
                <w:sz w:val="22"/>
                <w:szCs w:val="22"/>
                <w:lang w:val="en-GB"/>
              </w:rPr>
              <w:t>.</w:t>
            </w:r>
            <w:bookmarkStart w:id="0" w:name="_GoBack"/>
            <w:bookmarkEnd w:id="0"/>
            <w:r>
              <w:rPr>
                <w:sz w:val="22"/>
                <w:szCs w:val="22"/>
                <w:lang w:val="en-GB"/>
              </w:rPr>
              <w:t xml:space="preserve"> Note that it might be a good idea to use the bulletins to make it easier for students to navigate the course if you explain how the folder structure under ‘Resources’ is organised in combination with regular updates</w:t>
            </w:r>
            <w:r w:rsidR="00DF4AF3" w:rsidRPr="005919ED">
              <w:rPr>
                <w:sz w:val="22"/>
                <w:szCs w:val="22"/>
                <w:lang w:val="en-GB"/>
              </w:rPr>
              <w:t>.</w:t>
            </w:r>
          </w:p>
          <w:p w14:paraId="5481D707" w14:textId="51B5BC08" w:rsidR="00C34670" w:rsidRPr="005919ED" w:rsidRDefault="007A1927" w:rsidP="007A1927">
            <w:pPr>
              <w:pStyle w:val="Body"/>
              <w:rPr>
                <w:lang w:val="en-GB"/>
              </w:rPr>
            </w:pPr>
            <w:r w:rsidRPr="005919ED">
              <w:rPr>
                <w:lang w:val="en-GB"/>
              </w:rPr>
              <w:t xml:space="preserve"> </w:t>
            </w:r>
          </w:p>
        </w:tc>
      </w:tr>
      <w:tr w:rsidR="00C34670" w:rsidRPr="005919ED" w14:paraId="3A8148D2" w14:textId="77777777" w:rsidTr="00B33804">
        <w:trPr>
          <w:trHeight w:val="375"/>
        </w:trPr>
        <w:tc>
          <w:tcPr>
            <w:tcW w:w="1959" w:type="dxa"/>
            <w:tcBorders>
              <w:top w:val="single" w:sz="6" w:space="0" w:color="DDDDDD"/>
              <w:left w:val="single" w:sz="6" w:space="0" w:color="DDDDDD"/>
              <w:bottom w:val="single" w:sz="6" w:space="0" w:color="DDDDDD"/>
              <w:right w:val="single" w:sz="6" w:space="0" w:color="DDDDDD"/>
            </w:tcBorders>
            <w:shd w:val="clear" w:color="auto" w:fill="FFFFFF"/>
            <w:tcMar>
              <w:top w:w="80" w:type="dxa"/>
              <w:left w:w="80" w:type="dxa"/>
              <w:bottom w:w="80" w:type="dxa"/>
              <w:right w:w="80" w:type="dxa"/>
            </w:tcMar>
          </w:tcPr>
          <w:p w14:paraId="1F35100D" w14:textId="77777777" w:rsidR="00C34670" w:rsidRPr="005919ED" w:rsidRDefault="00D70315">
            <w:pPr>
              <w:pStyle w:val="Body"/>
              <w:rPr>
                <w:lang w:val="en-GB"/>
              </w:rPr>
            </w:pPr>
            <w:r w:rsidRPr="005919ED">
              <w:rPr>
                <w:b/>
                <w:bCs/>
                <w:lang w:val="en-GB"/>
              </w:rPr>
              <w:t>System</w:t>
            </w:r>
          </w:p>
        </w:tc>
        <w:tc>
          <w:tcPr>
            <w:tcW w:w="7087" w:type="dxa"/>
            <w:tcBorders>
              <w:top w:val="single" w:sz="6" w:space="0" w:color="DDDDDD"/>
              <w:left w:val="single" w:sz="6" w:space="0" w:color="DDDDDD"/>
              <w:bottom w:val="single" w:sz="6" w:space="0" w:color="DDDDDD"/>
              <w:right w:val="single" w:sz="6" w:space="0" w:color="DDDDDD"/>
            </w:tcBorders>
            <w:shd w:val="clear" w:color="auto" w:fill="FFFFFF"/>
            <w:tcMar>
              <w:top w:w="80" w:type="dxa"/>
              <w:left w:w="80" w:type="dxa"/>
              <w:bottom w:w="80" w:type="dxa"/>
              <w:right w:w="80" w:type="dxa"/>
            </w:tcMar>
          </w:tcPr>
          <w:p w14:paraId="51B57CCB" w14:textId="0270FB0C" w:rsidR="00C34670" w:rsidRPr="005919ED" w:rsidRDefault="005919ED" w:rsidP="004844B9">
            <w:pPr>
              <w:pStyle w:val="Body"/>
              <w:rPr>
                <w:lang w:val="en-GB"/>
              </w:rPr>
            </w:pPr>
            <w:r w:rsidRPr="005919ED">
              <w:rPr>
                <w:lang w:val="en-GB"/>
              </w:rPr>
              <w:t>Athena</w:t>
            </w:r>
            <w:r w:rsidR="00D46300" w:rsidRPr="005919ED">
              <w:rPr>
                <w:lang w:val="en-GB"/>
              </w:rPr>
              <w:t xml:space="preserve"> </w:t>
            </w:r>
          </w:p>
        </w:tc>
      </w:tr>
      <w:tr w:rsidR="00C34670" w:rsidRPr="00A43153" w14:paraId="47325BCE" w14:textId="77777777" w:rsidTr="00B942A5">
        <w:trPr>
          <w:trHeight w:val="335"/>
        </w:trPr>
        <w:tc>
          <w:tcPr>
            <w:tcW w:w="1959" w:type="dxa"/>
            <w:tcBorders>
              <w:top w:val="single" w:sz="6" w:space="0" w:color="DDDDDD"/>
              <w:left w:val="single" w:sz="6" w:space="0" w:color="DDDDDD"/>
              <w:bottom w:val="single" w:sz="6" w:space="0" w:color="DDDDDD"/>
              <w:right w:val="single" w:sz="6" w:space="0" w:color="DDDDDD"/>
            </w:tcBorders>
            <w:shd w:val="clear" w:color="auto" w:fill="FFFFFF"/>
            <w:tcMar>
              <w:top w:w="80" w:type="dxa"/>
              <w:left w:w="80" w:type="dxa"/>
              <w:bottom w:w="80" w:type="dxa"/>
              <w:right w:w="80" w:type="dxa"/>
            </w:tcMar>
          </w:tcPr>
          <w:p w14:paraId="0CD3684C" w14:textId="3CD090CB" w:rsidR="00C34670" w:rsidRPr="005919ED" w:rsidRDefault="007A1927">
            <w:pPr>
              <w:pStyle w:val="Body"/>
              <w:rPr>
                <w:lang w:val="en-GB"/>
              </w:rPr>
            </w:pPr>
            <w:r w:rsidRPr="005919ED">
              <w:rPr>
                <w:b/>
                <w:bCs/>
                <w:lang w:val="en-GB"/>
              </w:rPr>
              <w:t>Miscellaneous</w:t>
            </w:r>
          </w:p>
        </w:tc>
        <w:tc>
          <w:tcPr>
            <w:tcW w:w="7087" w:type="dxa"/>
            <w:tcBorders>
              <w:top w:val="single" w:sz="6" w:space="0" w:color="DDDDDD"/>
              <w:left w:val="single" w:sz="6" w:space="0" w:color="DDDDDD"/>
              <w:bottom w:val="single" w:sz="6" w:space="0" w:color="DDDDDD"/>
              <w:right w:val="single" w:sz="6" w:space="0" w:color="DDDDDD"/>
            </w:tcBorders>
            <w:shd w:val="clear" w:color="auto" w:fill="FFFFFF"/>
            <w:tcMar>
              <w:top w:w="80" w:type="dxa"/>
              <w:left w:w="80" w:type="dxa"/>
              <w:bottom w:w="80" w:type="dxa"/>
              <w:right w:w="80" w:type="dxa"/>
            </w:tcMar>
          </w:tcPr>
          <w:p w14:paraId="46D043B7" w14:textId="6829616D" w:rsidR="005919ED" w:rsidRDefault="005919ED" w:rsidP="005919ED">
            <w:pPr>
              <w:pStyle w:val="Body"/>
              <w:rPr>
                <w:sz w:val="22"/>
                <w:szCs w:val="22"/>
                <w:lang w:val="en-GB"/>
              </w:rPr>
            </w:pPr>
            <w:r>
              <w:rPr>
                <w:sz w:val="22"/>
                <w:szCs w:val="22"/>
                <w:lang w:val="en-GB"/>
              </w:rPr>
              <w:t>This solution prerequisites that the course designer uses the ready-made work structure in Athena, where the student can follow updates via the ‘Overview’ page and the starting page when they login to the system. It also require</w:t>
            </w:r>
            <w:r w:rsidR="00FF329F">
              <w:rPr>
                <w:sz w:val="22"/>
                <w:szCs w:val="22"/>
                <w:lang w:val="en-GB"/>
              </w:rPr>
              <w:t>s</w:t>
            </w:r>
            <w:r>
              <w:rPr>
                <w:sz w:val="22"/>
                <w:szCs w:val="22"/>
                <w:lang w:val="en-GB"/>
              </w:rPr>
              <w:t xml:space="preserve"> a structured workflow if several teachers are working on the same course.</w:t>
            </w:r>
          </w:p>
          <w:p w14:paraId="492E9A93" w14:textId="50DB6A17" w:rsidR="005919ED" w:rsidRDefault="005919ED" w:rsidP="005919ED">
            <w:pPr>
              <w:pStyle w:val="Body"/>
              <w:rPr>
                <w:sz w:val="22"/>
                <w:szCs w:val="22"/>
                <w:lang w:val="en-US"/>
              </w:rPr>
            </w:pPr>
          </w:p>
          <w:p w14:paraId="0C81E02E" w14:textId="2CA96E0D" w:rsidR="005919ED" w:rsidRDefault="005919ED" w:rsidP="005919ED">
            <w:pPr>
              <w:pStyle w:val="Body"/>
              <w:rPr>
                <w:sz w:val="22"/>
                <w:szCs w:val="22"/>
                <w:lang w:val="en-US"/>
              </w:rPr>
            </w:pPr>
            <w:r>
              <w:rPr>
                <w:sz w:val="22"/>
                <w:szCs w:val="22"/>
                <w:lang w:val="en-US"/>
              </w:rPr>
              <w:t xml:space="preserve">The method is, however, likely to facilitate </w:t>
            </w:r>
            <w:r w:rsidR="00A43153">
              <w:rPr>
                <w:sz w:val="22"/>
                <w:szCs w:val="22"/>
                <w:lang w:val="en-US"/>
              </w:rPr>
              <w:t xml:space="preserve">for students to complete the course on time, since it is easy for them to understand the teacher’s intentions. </w:t>
            </w:r>
          </w:p>
          <w:p w14:paraId="487269D7" w14:textId="61771155" w:rsidR="005919ED" w:rsidRPr="00A43153" w:rsidRDefault="00A43153">
            <w:pPr>
              <w:pStyle w:val="Body"/>
              <w:rPr>
                <w:sz w:val="22"/>
                <w:szCs w:val="22"/>
                <w:lang w:val="en-US"/>
              </w:rPr>
            </w:pPr>
            <w:r>
              <w:rPr>
                <w:sz w:val="22"/>
                <w:szCs w:val="22"/>
                <w:lang w:val="en-US"/>
              </w:rPr>
              <w:t>This solution also has potential to save some time for the teacher, as it facilitates navigation for students via the ‘Plan’ function form the beginning to the end of the course, without having to write a long document summarizing the schedule.</w:t>
            </w:r>
          </w:p>
          <w:p w14:paraId="2554F471" w14:textId="6D2891E8" w:rsidR="005919ED" w:rsidRPr="00A43153" w:rsidRDefault="005919ED">
            <w:pPr>
              <w:pStyle w:val="Body"/>
              <w:rPr>
                <w:lang w:val="en-US"/>
              </w:rPr>
            </w:pPr>
          </w:p>
        </w:tc>
      </w:tr>
      <w:tr w:rsidR="00C34670" w:rsidRPr="005919ED" w14:paraId="1F300DE6" w14:textId="77777777" w:rsidTr="00B942A5">
        <w:trPr>
          <w:trHeight w:val="815"/>
        </w:trPr>
        <w:tc>
          <w:tcPr>
            <w:tcW w:w="1959" w:type="dxa"/>
            <w:tcBorders>
              <w:top w:val="single" w:sz="6" w:space="0" w:color="DDDDDD"/>
              <w:left w:val="single" w:sz="6" w:space="0" w:color="DDDDDD"/>
              <w:bottom w:val="single" w:sz="6" w:space="0" w:color="DDDDDD"/>
              <w:right w:val="single" w:sz="6" w:space="0" w:color="DDDDDD"/>
            </w:tcBorders>
            <w:shd w:val="clear" w:color="auto" w:fill="FFFFFF"/>
            <w:tcMar>
              <w:top w:w="80" w:type="dxa"/>
              <w:left w:w="80" w:type="dxa"/>
              <w:bottom w:w="80" w:type="dxa"/>
              <w:right w:w="80" w:type="dxa"/>
            </w:tcMar>
          </w:tcPr>
          <w:p w14:paraId="71F8D5FC" w14:textId="4BBC836B" w:rsidR="00C34670" w:rsidRPr="005919ED" w:rsidRDefault="007A1927">
            <w:pPr>
              <w:pStyle w:val="Body"/>
              <w:rPr>
                <w:lang w:val="en-GB"/>
              </w:rPr>
            </w:pPr>
            <w:r w:rsidRPr="005919ED">
              <w:rPr>
                <w:b/>
                <w:bCs/>
                <w:lang w:val="en-GB"/>
              </w:rPr>
              <w:lastRenderedPageBreak/>
              <w:t>Pattern creator</w:t>
            </w:r>
          </w:p>
        </w:tc>
        <w:tc>
          <w:tcPr>
            <w:tcW w:w="7087" w:type="dxa"/>
            <w:tcBorders>
              <w:top w:val="single" w:sz="6" w:space="0" w:color="DDDDDD"/>
              <w:left w:val="single" w:sz="6" w:space="0" w:color="DDDDDD"/>
              <w:bottom w:val="single" w:sz="6" w:space="0" w:color="DDDDDD"/>
              <w:right w:val="single" w:sz="6" w:space="0" w:color="DDDDDD"/>
            </w:tcBorders>
            <w:shd w:val="clear" w:color="auto" w:fill="FFFFFF"/>
            <w:tcMar>
              <w:top w:w="80" w:type="dxa"/>
              <w:left w:w="80" w:type="dxa"/>
              <w:bottom w:w="80" w:type="dxa"/>
              <w:right w:w="80" w:type="dxa"/>
            </w:tcMar>
          </w:tcPr>
          <w:p w14:paraId="723610D1" w14:textId="562CC80C" w:rsidR="00C34670" w:rsidRPr="005919ED" w:rsidRDefault="005919ED" w:rsidP="007A1927">
            <w:pPr>
              <w:pStyle w:val="Body"/>
              <w:rPr>
                <w:lang w:val="en-GB"/>
              </w:rPr>
            </w:pPr>
            <w:r w:rsidRPr="005919ED">
              <w:rPr>
                <w:sz w:val="22"/>
                <w:szCs w:val="22"/>
                <w:lang w:val="en-GB"/>
              </w:rPr>
              <w:t xml:space="preserve">Sofie Wennström, Stockholms universitetsbibliotek, </w:t>
            </w:r>
            <w:hyperlink r:id="rId8" w:history="1">
              <w:r w:rsidRPr="005919ED">
                <w:rPr>
                  <w:rStyle w:val="Hyperlnk"/>
                  <w:sz w:val="22"/>
                  <w:szCs w:val="22"/>
                  <w:lang w:val="en-GB"/>
                </w:rPr>
                <w:t>sofie.wennstrom@su.se</w:t>
              </w:r>
            </w:hyperlink>
            <w:r w:rsidRPr="005919ED">
              <w:rPr>
                <w:sz w:val="22"/>
                <w:szCs w:val="22"/>
                <w:lang w:val="en-GB"/>
              </w:rPr>
              <w:t xml:space="preserve">, </w:t>
            </w:r>
            <w:hyperlink r:id="rId9" w:history="1">
              <w:r w:rsidRPr="005919ED">
                <w:rPr>
                  <w:rStyle w:val="Hyperlnk"/>
                  <w:sz w:val="22"/>
                  <w:szCs w:val="22"/>
                  <w:lang w:val="en-GB"/>
                </w:rPr>
                <w:t>https://orcid.org/0000-0003-1229-7019</w:t>
              </w:r>
            </w:hyperlink>
            <w:r w:rsidRPr="005919ED">
              <w:rPr>
                <w:rStyle w:val="Hyperlnk"/>
                <w:sz w:val="22"/>
                <w:szCs w:val="22"/>
                <w:lang w:val="en-GB"/>
              </w:rPr>
              <w:t xml:space="preserve">. </w:t>
            </w:r>
            <w:r w:rsidRPr="005919ED">
              <w:rPr>
                <w:rStyle w:val="Hyperlnk"/>
                <w:sz w:val="22"/>
                <w:szCs w:val="22"/>
                <w:u w:val="none"/>
                <w:lang w:val="en-GB"/>
              </w:rPr>
              <w:t>Mönster skapat 2018-08-28, reviderat 2019-</w:t>
            </w:r>
            <w:r w:rsidRPr="005919ED">
              <w:rPr>
                <w:rStyle w:val="Hyperlnk"/>
                <w:sz w:val="22"/>
                <w:szCs w:val="22"/>
                <w:u w:val="none"/>
                <w:lang w:val="en-GB"/>
              </w:rPr>
              <w:t>04-05</w:t>
            </w:r>
            <w:r w:rsidRPr="005919ED">
              <w:rPr>
                <w:rStyle w:val="Hyperlnk"/>
                <w:sz w:val="22"/>
                <w:szCs w:val="22"/>
                <w:u w:val="none"/>
                <w:lang w:val="en-GB"/>
              </w:rPr>
              <w:t>.</w:t>
            </w:r>
          </w:p>
        </w:tc>
      </w:tr>
    </w:tbl>
    <w:p w14:paraId="119200A8" w14:textId="77777777" w:rsidR="00C34670" w:rsidRPr="005919ED" w:rsidRDefault="00C34670">
      <w:pPr>
        <w:pStyle w:val="Body"/>
        <w:rPr>
          <w:lang w:val="en-GB"/>
        </w:rPr>
      </w:pPr>
    </w:p>
    <w:sectPr w:rsidR="00C34670" w:rsidRPr="005919ED">
      <w:headerReference w:type="default" r:id="rId10"/>
      <w:footerReference w:type="default" r:id="rId11"/>
      <w:pgSz w:w="11900" w:h="16840"/>
      <w:pgMar w:top="474" w:right="1417" w:bottom="1417" w:left="1417" w:header="132"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2929C0" w14:textId="77777777" w:rsidR="003D3CBE" w:rsidRDefault="003D3CBE">
      <w:r>
        <w:separator/>
      </w:r>
    </w:p>
  </w:endnote>
  <w:endnote w:type="continuationSeparator" w:id="0">
    <w:p w14:paraId="23F8D290" w14:textId="77777777" w:rsidR="003D3CBE" w:rsidRDefault="003D3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Helvetica Neue">
    <w:altName w:val="Corbel"/>
    <w:panose1 w:val="02000503000000020004"/>
    <w:charset w:val="00"/>
    <w:family w:val="auto"/>
    <w:pitch w:val="variable"/>
    <w:sig w:usb0="E50002FF" w:usb1="500079DB" w:usb2="00000010" w:usb3="00000000" w:csb0="00000001" w:csb1="00000000"/>
  </w:font>
  <w:font w:name="Palatino">
    <w:altName w:val="Book Antiqua"/>
    <w:panose1 w:val="00000000000000000000"/>
    <w:charset w:val="4D"/>
    <w:family w:val="auto"/>
    <w:pitch w:val="variable"/>
    <w:sig w:usb0="A00002FF" w:usb1="7800205A" w:usb2="146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8288C" w14:textId="77777777" w:rsidR="00C34670" w:rsidRDefault="00C34670">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8197F7" w14:textId="77777777" w:rsidR="003D3CBE" w:rsidRDefault="003D3CBE">
      <w:r>
        <w:separator/>
      </w:r>
    </w:p>
  </w:footnote>
  <w:footnote w:type="continuationSeparator" w:id="0">
    <w:p w14:paraId="72071BB9" w14:textId="77777777" w:rsidR="003D3CBE" w:rsidRDefault="003D3C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83F30C" w14:textId="77777777" w:rsidR="00C34670" w:rsidRDefault="00C34670">
    <w:pPr>
      <w:pStyle w:val="Sidhuvud"/>
      <w:tabs>
        <w:tab w:val="clear" w:pos="9072"/>
        <w:tab w:val="right" w:pos="904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A1C39"/>
    <w:multiLevelType w:val="hybridMultilevel"/>
    <w:tmpl w:val="B88A252A"/>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3D023A63"/>
    <w:multiLevelType w:val="hybridMultilevel"/>
    <w:tmpl w:val="47EEECD2"/>
    <w:lvl w:ilvl="0" w:tplc="32705E9E">
      <w:start w:val="1"/>
      <w:numFmt w:val="decimal"/>
      <w:lvlText w:val="%1."/>
      <w:lvlJc w:val="left"/>
      <w:pPr>
        <w:ind w:left="420" w:hanging="360"/>
      </w:pPr>
      <w:rPr>
        <w:rFonts w:hint="default"/>
      </w:rPr>
    </w:lvl>
    <w:lvl w:ilvl="1" w:tplc="041D0019" w:tentative="1">
      <w:start w:val="1"/>
      <w:numFmt w:val="lowerLetter"/>
      <w:lvlText w:val="%2."/>
      <w:lvlJc w:val="left"/>
      <w:pPr>
        <w:ind w:left="1140" w:hanging="360"/>
      </w:pPr>
    </w:lvl>
    <w:lvl w:ilvl="2" w:tplc="041D001B" w:tentative="1">
      <w:start w:val="1"/>
      <w:numFmt w:val="lowerRoman"/>
      <w:lvlText w:val="%3."/>
      <w:lvlJc w:val="right"/>
      <w:pPr>
        <w:ind w:left="1860" w:hanging="180"/>
      </w:pPr>
    </w:lvl>
    <w:lvl w:ilvl="3" w:tplc="041D000F" w:tentative="1">
      <w:start w:val="1"/>
      <w:numFmt w:val="decimal"/>
      <w:lvlText w:val="%4."/>
      <w:lvlJc w:val="left"/>
      <w:pPr>
        <w:ind w:left="2580" w:hanging="360"/>
      </w:pPr>
    </w:lvl>
    <w:lvl w:ilvl="4" w:tplc="041D0019" w:tentative="1">
      <w:start w:val="1"/>
      <w:numFmt w:val="lowerLetter"/>
      <w:lvlText w:val="%5."/>
      <w:lvlJc w:val="left"/>
      <w:pPr>
        <w:ind w:left="3300" w:hanging="360"/>
      </w:pPr>
    </w:lvl>
    <w:lvl w:ilvl="5" w:tplc="041D001B" w:tentative="1">
      <w:start w:val="1"/>
      <w:numFmt w:val="lowerRoman"/>
      <w:lvlText w:val="%6."/>
      <w:lvlJc w:val="right"/>
      <w:pPr>
        <w:ind w:left="4020" w:hanging="180"/>
      </w:pPr>
    </w:lvl>
    <w:lvl w:ilvl="6" w:tplc="041D000F" w:tentative="1">
      <w:start w:val="1"/>
      <w:numFmt w:val="decimal"/>
      <w:lvlText w:val="%7."/>
      <w:lvlJc w:val="left"/>
      <w:pPr>
        <w:ind w:left="4740" w:hanging="360"/>
      </w:pPr>
    </w:lvl>
    <w:lvl w:ilvl="7" w:tplc="041D0019" w:tentative="1">
      <w:start w:val="1"/>
      <w:numFmt w:val="lowerLetter"/>
      <w:lvlText w:val="%8."/>
      <w:lvlJc w:val="left"/>
      <w:pPr>
        <w:ind w:left="5460" w:hanging="360"/>
      </w:pPr>
    </w:lvl>
    <w:lvl w:ilvl="8" w:tplc="041D001B" w:tentative="1">
      <w:start w:val="1"/>
      <w:numFmt w:val="lowerRoman"/>
      <w:lvlText w:val="%9."/>
      <w:lvlJc w:val="right"/>
      <w:pPr>
        <w:ind w:left="6180" w:hanging="180"/>
      </w:pPr>
    </w:lvl>
  </w:abstractNum>
  <w:abstractNum w:abstractNumId="2" w15:restartNumberingAfterBreak="0">
    <w:nsid w:val="7BDA3C0C"/>
    <w:multiLevelType w:val="hybridMultilevel"/>
    <w:tmpl w:val="3FBCA2F6"/>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efaultTabStop w:val="1304"/>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670"/>
    <w:rsid w:val="00031B7D"/>
    <w:rsid w:val="002C6D0A"/>
    <w:rsid w:val="003D3CBE"/>
    <w:rsid w:val="004844B9"/>
    <w:rsid w:val="004856F3"/>
    <w:rsid w:val="004E054D"/>
    <w:rsid w:val="004E5AB1"/>
    <w:rsid w:val="005919ED"/>
    <w:rsid w:val="00634636"/>
    <w:rsid w:val="006936B5"/>
    <w:rsid w:val="007A1927"/>
    <w:rsid w:val="007A75FF"/>
    <w:rsid w:val="00841DB4"/>
    <w:rsid w:val="00931EEE"/>
    <w:rsid w:val="00A43153"/>
    <w:rsid w:val="00A81A10"/>
    <w:rsid w:val="00AE20AF"/>
    <w:rsid w:val="00B33804"/>
    <w:rsid w:val="00B942A5"/>
    <w:rsid w:val="00C34670"/>
    <w:rsid w:val="00D35464"/>
    <w:rsid w:val="00D46300"/>
    <w:rsid w:val="00D70315"/>
    <w:rsid w:val="00DF4AF3"/>
    <w:rsid w:val="00F5092A"/>
    <w:rsid w:val="00FF329F"/>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AC78F"/>
  <w15:docId w15:val="{7E117720-7CBB-4685-8BBE-79AAF2FA9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sv-SE" w:eastAsia="sv-S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Pr>
      <w:sz w:val="24"/>
      <w:szCs w:val="24"/>
      <w:lang w:val="en-US" w:eastAsia="en-US"/>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styleId="Hyperl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Sidhuvud">
    <w:name w:val="header"/>
    <w:pPr>
      <w:tabs>
        <w:tab w:val="center" w:pos="4536"/>
        <w:tab w:val="right" w:pos="9072"/>
      </w:tabs>
    </w:pPr>
    <w:rPr>
      <w:rFonts w:ascii="Calibri" w:hAnsi="Calibri" w:cs="Arial Unicode MS"/>
      <w:color w:val="000000"/>
      <w:sz w:val="24"/>
      <w:szCs w:val="24"/>
      <w:u w:color="000000"/>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
    <w:name w:val="Body"/>
    <w:pPr>
      <w:spacing w:line="360" w:lineRule="auto"/>
    </w:pPr>
    <w:rPr>
      <w:rFonts w:ascii="Palatino" w:hAnsi="Palatino" w:cs="Arial Unicode MS"/>
      <w:color w:val="000000"/>
      <w:sz w:val="24"/>
      <w:szCs w:val="24"/>
      <w:u w:color="000000"/>
    </w:rPr>
  </w:style>
  <w:style w:type="paragraph" w:customStyle="1" w:styleId="Default">
    <w:name w:val="Default"/>
    <w:rPr>
      <w:rFonts w:ascii="Helvetica Neue" w:hAnsi="Helvetica Neue" w:cs="Arial Unicode M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37192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ofie.wennstrom@su.s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orcid.org/0000-0003-1229-7019" TargetMode="External"/></Relationships>
</file>

<file path=word/theme/theme1.xml><?xml version="1.0" encoding="utf-8"?>
<a:theme xmlns:a="http://schemas.openxmlformats.org/drawingml/2006/main" name="Office-tema">
  <a:themeElements>
    <a:clrScheme name="Office-tema">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tema">
      <a:majorFont>
        <a:latin typeface="Helvetica Neue"/>
        <a:ea typeface="Helvetica Neue"/>
        <a:cs typeface="Helvetica Neue"/>
      </a:majorFont>
      <a:minorFont>
        <a:latin typeface="Helvetica Neue"/>
        <a:ea typeface="Helvetica Neue"/>
        <a:cs typeface="Helvetica Neue"/>
      </a:minorFont>
    </a:fontScheme>
    <a:fmtScheme name="Office-tem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3</Pages>
  <Words>658</Words>
  <Characters>3490</Characters>
  <Application>Microsoft Office Word</Application>
  <DocSecurity>0</DocSecurity>
  <Lines>29</Lines>
  <Paragraphs>8</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4140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Sofie Wennström</dc:creator>
  <cp:lastModifiedBy>Microsoft Office User</cp:lastModifiedBy>
  <cp:revision>8</cp:revision>
  <dcterms:created xsi:type="dcterms:W3CDTF">2019-04-05T12:55:00Z</dcterms:created>
  <dcterms:modified xsi:type="dcterms:W3CDTF">2019-04-05T14:08:00Z</dcterms:modified>
</cp:coreProperties>
</file>