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90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959"/>
        <w:gridCol w:w="7087"/>
      </w:tblGrid>
      <w:tr w:rsidR="00C34670" w:rsidTr="00B942A5">
        <w:trPr>
          <w:trHeight w:val="177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670" w:rsidRDefault="00D70315">
            <w:pPr>
              <w:pStyle w:val="Default"/>
            </w:pPr>
            <w:r>
              <w:rPr>
                <w:noProof/>
              </w:rPr>
              <w:drawing>
                <wp:inline distT="0" distB="0" distL="0" distR="0">
                  <wp:extent cx="1059303" cy="880037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pdf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303" cy="88003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670" w:rsidRDefault="00D70315">
            <w:pPr>
              <w:pStyle w:val="Body"/>
              <w:jc w:val="center"/>
            </w:pPr>
            <w:r>
              <w:rPr>
                <w:b/>
                <w:bCs/>
              </w:rPr>
              <w:t xml:space="preserve">Designmönster för lärande </w:t>
            </w:r>
            <w:r>
              <w:rPr>
                <w:b/>
                <w:bCs/>
              </w:rPr>
              <w:br/>
              <w:t>Centrum för universitetslärarutbildning</w:t>
            </w:r>
          </w:p>
          <w:p w:rsidR="00C34670" w:rsidRDefault="00D70315">
            <w:pPr>
              <w:pStyle w:val="Body"/>
              <w:jc w:val="center"/>
            </w:pPr>
            <w:r>
              <w:rPr>
                <w:b/>
                <w:bCs/>
              </w:rPr>
              <w:t>su.se/</w:t>
            </w:r>
            <w:proofErr w:type="spellStart"/>
            <w:r>
              <w:rPr>
                <w:b/>
                <w:bCs/>
              </w:rPr>
              <w:t>ceul</w:t>
            </w:r>
            <w:proofErr w:type="spellEnd"/>
          </w:p>
        </w:tc>
      </w:tr>
      <w:tr w:rsidR="00C34670" w:rsidRPr="004F7E27" w:rsidTr="00B942A5">
        <w:trPr>
          <w:trHeight w:val="81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  <w:color w:val="333333"/>
                <w:u w:color="333333"/>
              </w:rPr>
              <w:t>Mönsternamn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Pr="00B17FC9" w:rsidRDefault="00E66A4A">
            <w:pPr>
              <w:pStyle w:val="Body"/>
              <w:rPr>
                <w:color w:val="333333"/>
                <w:sz w:val="22"/>
                <w:szCs w:val="22"/>
                <w:u w:color="333333"/>
              </w:rPr>
            </w:pPr>
            <w:r>
              <w:rPr>
                <w:color w:val="333333"/>
                <w:sz w:val="22"/>
                <w:szCs w:val="22"/>
                <w:u w:color="333333"/>
              </w:rPr>
              <w:t>Optimera</w:t>
            </w:r>
            <w:bookmarkStart w:id="0" w:name="_GoBack"/>
            <w:bookmarkEnd w:id="0"/>
            <w:r w:rsidR="00154A2C" w:rsidRPr="00B17FC9">
              <w:rPr>
                <w:color w:val="333333"/>
                <w:sz w:val="22"/>
                <w:szCs w:val="22"/>
                <w:u w:color="333333"/>
              </w:rPr>
              <w:t xml:space="preserve"> informationsflödet i kursen</w:t>
            </w:r>
          </w:p>
        </w:tc>
      </w:tr>
      <w:tr w:rsidR="00C34670" w:rsidRPr="004F7E27" w:rsidTr="00B942A5">
        <w:trPr>
          <w:trHeight w:val="129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  <w:color w:val="333333"/>
                <w:u w:color="333333"/>
              </w:rPr>
              <w:t>Sammanhang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Pr="00B17FC9" w:rsidRDefault="00154A2C">
            <w:pPr>
              <w:pStyle w:val="Body"/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Du vill säkerställa att studenterna får rätt information i rätt tid </w:t>
            </w:r>
            <w:r w:rsidR="00DB0AF8" w:rsidRPr="00B17FC9">
              <w:rPr>
                <w:sz w:val="22"/>
                <w:szCs w:val="22"/>
              </w:rPr>
              <w:t xml:space="preserve">i </w:t>
            </w:r>
            <w:proofErr w:type="spellStart"/>
            <w:r w:rsidR="00DB0AF8" w:rsidRPr="00B17FC9">
              <w:rPr>
                <w:sz w:val="22"/>
                <w:szCs w:val="22"/>
              </w:rPr>
              <w:t>Athena</w:t>
            </w:r>
            <w:proofErr w:type="spellEnd"/>
            <w:r w:rsidR="002C51DE">
              <w:rPr>
                <w:sz w:val="22"/>
                <w:szCs w:val="22"/>
              </w:rPr>
              <w:t>-plattformen</w:t>
            </w:r>
            <w:r w:rsidR="00DB0AF8" w:rsidRPr="00B17FC9">
              <w:rPr>
                <w:sz w:val="22"/>
                <w:szCs w:val="22"/>
              </w:rPr>
              <w:t xml:space="preserve"> </w:t>
            </w:r>
            <w:r w:rsidR="00B90D1D">
              <w:rPr>
                <w:sz w:val="22"/>
                <w:szCs w:val="22"/>
              </w:rPr>
              <w:t>via</w:t>
            </w:r>
            <w:r w:rsidRPr="00B17FC9">
              <w:rPr>
                <w:sz w:val="22"/>
                <w:szCs w:val="22"/>
              </w:rPr>
              <w:t xml:space="preserve"> </w:t>
            </w:r>
            <w:r w:rsidR="00DB0AF8" w:rsidRPr="00B17FC9">
              <w:rPr>
                <w:sz w:val="22"/>
                <w:szCs w:val="22"/>
              </w:rPr>
              <w:t>menyvalet ”Översikt”</w:t>
            </w:r>
            <w:r w:rsidRPr="00B17FC9">
              <w:rPr>
                <w:sz w:val="22"/>
                <w:szCs w:val="22"/>
              </w:rPr>
              <w:t xml:space="preserve"> på kursnivå. </w:t>
            </w:r>
          </w:p>
        </w:tc>
      </w:tr>
      <w:tr w:rsidR="00C34670" w:rsidRPr="004F7E27" w:rsidTr="00B942A5">
        <w:trPr>
          <w:trHeight w:val="889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  <w:color w:val="333333"/>
                <w:u w:color="333333"/>
              </w:rPr>
              <w:t>Problem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Pr="00154A2C" w:rsidRDefault="00154A2C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</w:tabs>
              <w:spacing w:line="360" w:lineRule="auto"/>
              <w:rPr>
                <w:rFonts w:ascii="Palatino" w:hAnsi="Palatino"/>
                <w:color w:val="333333"/>
                <w:shd w:val="clear" w:color="auto" w:fill="FFFFFF"/>
              </w:rPr>
            </w:pPr>
            <w:r w:rsidRPr="00154A2C">
              <w:rPr>
                <w:rFonts w:ascii="Palatino" w:hAnsi="Palatino"/>
                <w:color w:val="333333"/>
                <w:shd w:val="clear" w:color="auto" w:fill="FFFFFF"/>
              </w:rPr>
              <w:t xml:space="preserve">Viktig information till studenter försvinner i informationsflödet i </w:t>
            </w:r>
            <w:proofErr w:type="spellStart"/>
            <w:r w:rsidRPr="00154A2C">
              <w:rPr>
                <w:rFonts w:ascii="Palatino" w:hAnsi="Palatino"/>
                <w:color w:val="333333"/>
                <w:shd w:val="clear" w:color="auto" w:fill="FFFFFF"/>
              </w:rPr>
              <w:t>Athena</w:t>
            </w:r>
            <w:proofErr w:type="spellEnd"/>
            <w:r w:rsidR="00B17FC9">
              <w:rPr>
                <w:rFonts w:ascii="Palatino" w:hAnsi="Palatino"/>
                <w:color w:val="333333"/>
                <w:shd w:val="clear" w:color="auto" w:fill="FFFFFF"/>
              </w:rPr>
              <w:t xml:space="preserve"> (dvs. det som syns under ”Översikt” när studenterna går in på en kurssida samt det som syns på startsidan när de loggar in i </w:t>
            </w:r>
            <w:proofErr w:type="spellStart"/>
            <w:r w:rsidR="00B17FC9">
              <w:rPr>
                <w:rFonts w:ascii="Palatino" w:hAnsi="Palatino"/>
                <w:color w:val="333333"/>
                <w:shd w:val="clear" w:color="auto" w:fill="FFFFFF"/>
              </w:rPr>
              <w:t>Athena</w:t>
            </w:r>
            <w:proofErr w:type="spellEnd"/>
            <w:r w:rsidR="00B17FC9">
              <w:rPr>
                <w:rFonts w:ascii="Palatino" w:hAnsi="Palatino"/>
                <w:color w:val="333333"/>
                <w:shd w:val="clear" w:color="auto" w:fill="FFFFFF"/>
              </w:rPr>
              <w:t>)</w:t>
            </w:r>
            <w:r>
              <w:rPr>
                <w:rFonts w:ascii="Palatino" w:hAnsi="Palatino"/>
                <w:color w:val="333333"/>
                <w:shd w:val="clear" w:color="auto" w:fill="FFFFFF"/>
              </w:rPr>
              <w:t>.</w:t>
            </w:r>
            <w:r w:rsidR="00B17FC9">
              <w:rPr>
                <w:rFonts w:ascii="Palatino" w:hAnsi="Palatino"/>
                <w:color w:val="333333"/>
                <w:shd w:val="clear" w:color="auto" w:fill="FFFFFF"/>
              </w:rPr>
              <w:t xml:space="preserve"> Det kan också vara svårt för studenter att komma ihåg att logga in i systemet om det inte kommer notifikationer om viktiga händelser.</w:t>
            </w:r>
          </w:p>
        </w:tc>
      </w:tr>
      <w:tr w:rsidR="00C34670" w:rsidRPr="004F7E27" w:rsidTr="00B942A5">
        <w:trPr>
          <w:trHeight w:val="273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  <w:color w:val="333333"/>
                <w:u w:color="333333"/>
              </w:rPr>
              <w:t>Lösning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A2C" w:rsidRPr="00B17FC9" w:rsidRDefault="00551EF3" w:rsidP="00154A2C">
            <w:pPr>
              <w:pStyle w:val="Body"/>
              <w:rPr>
                <w:b/>
                <w:sz w:val="22"/>
                <w:szCs w:val="22"/>
              </w:rPr>
            </w:pPr>
            <w:r w:rsidRPr="00B17FC9">
              <w:rPr>
                <w:b/>
                <w:sz w:val="22"/>
                <w:szCs w:val="22"/>
              </w:rPr>
              <w:t>Att</w:t>
            </w:r>
            <w:r w:rsidR="00DB0AF8" w:rsidRPr="00B17FC9">
              <w:rPr>
                <w:b/>
                <w:sz w:val="22"/>
                <w:szCs w:val="22"/>
              </w:rPr>
              <w:t xml:space="preserve"> använda informationsflödet via</w:t>
            </w:r>
            <w:r w:rsidR="00154A2C" w:rsidRPr="00B17FC9">
              <w:rPr>
                <w:b/>
                <w:sz w:val="22"/>
                <w:szCs w:val="22"/>
              </w:rPr>
              <w:t xml:space="preserve"> </w:t>
            </w:r>
            <w:r w:rsidR="00A346BC">
              <w:rPr>
                <w:b/>
                <w:sz w:val="22"/>
                <w:szCs w:val="22"/>
              </w:rPr>
              <w:t xml:space="preserve">”Planeringar” i </w:t>
            </w:r>
            <w:proofErr w:type="spellStart"/>
            <w:r w:rsidR="00A346BC">
              <w:rPr>
                <w:b/>
                <w:sz w:val="22"/>
                <w:szCs w:val="22"/>
              </w:rPr>
              <w:t>Athena</w:t>
            </w:r>
            <w:proofErr w:type="spellEnd"/>
          </w:p>
          <w:p w:rsidR="00154A2C" w:rsidRPr="00B17FC9" w:rsidRDefault="00A37E00" w:rsidP="00154A2C">
            <w:pPr>
              <w:pStyle w:val="Body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Använd planeringsfunktionen för att strukturera din kurs i </w:t>
            </w:r>
            <w:r w:rsidR="00B17FC9">
              <w:rPr>
                <w:sz w:val="22"/>
                <w:szCs w:val="22"/>
              </w:rPr>
              <w:t>”</w:t>
            </w:r>
            <w:r w:rsidRPr="00B17FC9">
              <w:rPr>
                <w:sz w:val="22"/>
                <w:szCs w:val="22"/>
              </w:rPr>
              <w:t>modul</w:t>
            </w:r>
            <w:r w:rsidR="00B17FC9">
              <w:rPr>
                <w:sz w:val="22"/>
                <w:szCs w:val="22"/>
              </w:rPr>
              <w:t>er”</w:t>
            </w:r>
            <w:r w:rsidRPr="00B17FC9">
              <w:rPr>
                <w:sz w:val="22"/>
                <w:szCs w:val="22"/>
              </w:rPr>
              <w:t xml:space="preserve"> (t.ex. en modul per kursvecka)</w:t>
            </w:r>
            <w:r w:rsidR="00B17FC9">
              <w:rPr>
                <w:sz w:val="22"/>
                <w:szCs w:val="22"/>
              </w:rPr>
              <w:t xml:space="preserve"> baserat på innehåll eller progression</w:t>
            </w:r>
            <w:r w:rsidRPr="00B17FC9">
              <w:rPr>
                <w:sz w:val="22"/>
                <w:szCs w:val="22"/>
              </w:rPr>
              <w:t>.</w:t>
            </w:r>
          </w:p>
          <w:p w:rsidR="00A37E00" w:rsidRPr="00B17FC9" w:rsidRDefault="00A37E00" w:rsidP="00154A2C">
            <w:pPr>
              <w:pStyle w:val="Body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Koppla </w:t>
            </w:r>
            <w:r w:rsidR="00B17FC9">
              <w:rPr>
                <w:sz w:val="22"/>
                <w:szCs w:val="22"/>
              </w:rPr>
              <w:t>resurserna</w:t>
            </w:r>
            <w:r w:rsidRPr="00B17FC9">
              <w:rPr>
                <w:sz w:val="22"/>
                <w:szCs w:val="22"/>
              </w:rPr>
              <w:t xml:space="preserve"> och</w:t>
            </w:r>
            <w:r w:rsidR="00B17FC9">
              <w:rPr>
                <w:sz w:val="22"/>
                <w:szCs w:val="22"/>
              </w:rPr>
              <w:t>/eller</w:t>
            </w:r>
            <w:r w:rsidRPr="00B17FC9">
              <w:rPr>
                <w:sz w:val="22"/>
                <w:szCs w:val="22"/>
              </w:rPr>
              <w:t xml:space="preserve"> aktiviteter</w:t>
            </w:r>
            <w:r w:rsidR="00B17FC9">
              <w:rPr>
                <w:sz w:val="22"/>
                <w:szCs w:val="22"/>
              </w:rPr>
              <w:t>na</w:t>
            </w:r>
            <w:r w:rsidRPr="00B17FC9">
              <w:rPr>
                <w:sz w:val="22"/>
                <w:szCs w:val="22"/>
              </w:rPr>
              <w:t xml:space="preserve"> du skapat</w:t>
            </w:r>
            <w:r w:rsidR="00B17FC9">
              <w:rPr>
                <w:sz w:val="22"/>
                <w:szCs w:val="22"/>
              </w:rPr>
              <w:t xml:space="preserve"> i systemet</w:t>
            </w:r>
            <w:r w:rsidRPr="00B17FC9">
              <w:rPr>
                <w:sz w:val="22"/>
                <w:szCs w:val="22"/>
              </w:rPr>
              <w:t>, samt relevanta lärandemål, till respektive modul.</w:t>
            </w:r>
          </w:p>
          <w:p w:rsidR="00A37E00" w:rsidRPr="00B17FC9" w:rsidRDefault="00A37E00" w:rsidP="00154A2C">
            <w:pPr>
              <w:pStyle w:val="Body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>Sätt sedan datum</w:t>
            </w:r>
            <w:r w:rsidR="00B17FC9">
              <w:rPr>
                <w:sz w:val="22"/>
                <w:szCs w:val="22"/>
              </w:rPr>
              <w:t xml:space="preserve"> i planeringsvyn för att aktivera resurser eller aktiviteter</w:t>
            </w:r>
            <w:r w:rsidRPr="00B17FC9">
              <w:rPr>
                <w:sz w:val="22"/>
                <w:szCs w:val="22"/>
              </w:rPr>
              <w:t xml:space="preserve"> enligt kursens schema. </w:t>
            </w:r>
          </w:p>
          <w:p w:rsidR="00A37E00" w:rsidRPr="00B17FC9" w:rsidRDefault="00B17FC9" w:rsidP="00154A2C">
            <w:pPr>
              <w:pStyle w:val="Body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Den aktuella </w:t>
            </w:r>
            <w:r w:rsidR="00A37E00" w:rsidRPr="00B17FC9">
              <w:rPr>
                <w:sz w:val="22"/>
                <w:szCs w:val="22"/>
              </w:rPr>
              <w:t>planering</w:t>
            </w:r>
            <w:r>
              <w:rPr>
                <w:sz w:val="22"/>
                <w:szCs w:val="22"/>
              </w:rPr>
              <w:t>en</w:t>
            </w:r>
            <w:r w:rsidR="00A37E00" w:rsidRPr="00B17FC9">
              <w:rPr>
                <w:sz w:val="22"/>
                <w:szCs w:val="22"/>
              </w:rPr>
              <w:t xml:space="preserve"> syns då i </w:t>
            </w:r>
            <w:r>
              <w:rPr>
                <w:sz w:val="22"/>
                <w:szCs w:val="22"/>
              </w:rPr>
              <w:t xml:space="preserve">under ”Översikt” </w:t>
            </w:r>
            <w:r w:rsidR="008459C9" w:rsidRPr="00B17FC9">
              <w:rPr>
                <w:sz w:val="22"/>
                <w:szCs w:val="22"/>
              </w:rPr>
              <w:t xml:space="preserve">när studenterna loggar in, </w:t>
            </w:r>
            <w:r>
              <w:rPr>
                <w:sz w:val="22"/>
                <w:szCs w:val="22"/>
              </w:rPr>
              <w:t>och de kan se vilka aktiviteter eller resurser som ska hanteras under den inställda tidsperioden</w:t>
            </w:r>
            <w:r w:rsidR="008459C9" w:rsidRPr="00B17FC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De kan enkelt komma igång med arbetet i kronologisk ordning om de klickar på knappen markerad med ”Start” i flödet.</w:t>
            </w:r>
          </w:p>
          <w:p w:rsidR="00154A2C" w:rsidRPr="00B17FC9" w:rsidRDefault="00154A2C" w:rsidP="00154A2C">
            <w:pPr>
              <w:pStyle w:val="Body"/>
              <w:rPr>
                <w:sz w:val="22"/>
                <w:szCs w:val="22"/>
              </w:rPr>
            </w:pPr>
          </w:p>
          <w:p w:rsidR="00154A2C" w:rsidRPr="00B17FC9" w:rsidRDefault="00154A2C" w:rsidP="00154A2C">
            <w:pPr>
              <w:pStyle w:val="Body"/>
              <w:rPr>
                <w:b/>
                <w:sz w:val="22"/>
                <w:szCs w:val="22"/>
              </w:rPr>
            </w:pPr>
            <w:r w:rsidRPr="00B17FC9">
              <w:rPr>
                <w:b/>
                <w:sz w:val="22"/>
                <w:szCs w:val="22"/>
              </w:rPr>
              <w:t xml:space="preserve">Att använda </w:t>
            </w:r>
            <w:r w:rsidR="00A346BC">
              <w:rPr>
                <w:b/>
                <w:sz w:val="22"/>
                <w:szCs w:val="22"/>
              </w:rPr>
              <w:t>”Anslag” som komplement till planeringsfunktionen eller annat upplägg</w:t>
            </w:r>
          </w:p>
          <w:p w:rsidR="00154A2C" w:rsidRPr="00B17FC9" w:rsidRDefault="008459C9" w:rsidP="00154A2C">
            <w:pPr>
              <w:pStyle w:val="Body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Skriv </w:t>
            </w:r>
            <w:r w:rsidR="000D6B45">
              <w:rPr>
                <w:sz w:val="22"/>
                <w:szCs w:val="22"/>
              </w:rPr>
              <w:t>specifika</w:t>
            </w:r>
            <w:r w:rsidR="00154A2C" w:rsidRPr="00B17FC9">
              <w:rPr>
                <w:sz w:val="22"/>
                <w:szCs w:val="22"/>
              </w:rPr>
              <w:t xml:space="preserve"> meddelande</w:t>
            </w:r>
            <w:r w:rsidRPr="00B17FC9">
              <w:rPr>
                <w:sz w:val="22"/>
                <w:szCs w:val="22"/>
              </w:rPr>
              <w:t>n</w:t>
            </w:r>
            <w:r w:rsidR="00154A2C" w:rsidRPr="00B17FC9">
              <w:rPr>
                <w:sz w:val="22"/>
                <w:szCs w:val="22"/>
              </w:rPr>
              <w:t xml:space="preserve"> </w:t>
            </w:r>
            <w:r w:rsidR="000D6B45">
              <w:rPr>
                <w:sz w:val="22"/>
                <w:szCs w:val="22"/>
              </w:rPr>
              <w:t xml:space="preserve">med </w:t>
            </w:r>
            <w:r w:rsidRPr="00B17FC9">
              <w:rPr>
                <w:sz w:val="22"/>
                <w:szCs w:val="22"/>
              </w:rPr>
              <w:t xml:space="preserve">funktionen </w:t>
            </w:r>
            <w:r w:rsidR="00154A2C" w:rsidRPr="00B17FC9">
              <w:rPr>
                <w:sz w:val="22"/>
                <w:szCs w:val="22"/>
              </w:rPr>
              <w:t>"Anslag"</w:t>
            </w:r>
            <w:r w:rsidRPr="00B17FC9">
              <w:rPr>
                <w:sz w:val="22"/>
                <w:szCs w:val="22"/>
              </w:rPr>
              <w:t xml:space="preserve"> </w:t>
            </w:r>
            <w:r w:rsidR="00154A2C" w:rsidRPr="00B17FC9">
              <w:rPr>
                <w:sz w:val="22"/>
                <w:szCs w:val="22"/>
              </w:rPr>
              <w:t>som kompletterar det övriga informationsflödet om uppdateringar i kursen så att det viktigaste allt</w:t>
            </w:r>
            <w:r w:rsidRPr="00B17FC9">
              <w:rPr>
                <w:sz w:val="22"/>
                <w:szCs w:val="22"/>
              </w:rPr>
              <w:t>id hamnar i blickfånget, t.ex. påminnelser om vad studenterna förväntas ha åstadkommit under en specifik kursvecka</w:t>
            </w:r>
            <w:r w:rsidR="000D6B45">
              <w:rPr>
                <w:sz w:val="22"/>
                <w:szCs w:val="22"/>
              </w:rPr>
              <w:t xml:space="preserve"> eller inför en kommande tenta</w:t>
            </w:r>
            <w:r w:rsidRPr="00B17FC9">
              <w:rPr>
                <w:sz w:val="22"/>
                <w:szCs w:val="22"/>
              </w:rPr>
              <w:t>.</w:t>
            </w:r>
          </w:p>
          <w:p w:rsidR="00154A2C" w:rsidRPr="00B17FC9" w:rsidRDefault="00154A2C" w:rsidP="00154A2C">
            <w:pPr>
              <w:pStyle w:val="Body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Planera publicering av </w:t>
            </w:r>
            <w:r w:rsidR="000D6B45">
              <w:rPr>
                <w:sz w:val="22"/>
                <w:szCs w:val="22"/>
              </w:rPr>
              <w:t xml:space="preserve">anslag antingen genom att göra inlägg med jämna mellanrum, eller förbered genom att göra anslag i </w:t>
            </w:r>
            <w:r w:rsidR="000D6B45">
              <w:rPr>
                <w:sz w:val="22"/>
                <w:szCs w:val="22"/>
              </w:rPr>
              <w:lastRenderedPageBreak/>
              <w:t>förväg och sätta ett datum och tid när de ska publiceras i systemet</w:t>
            </w:r>
            <w:r w:rsidRPr="00B17FC9">
              <w:rPr>
                <w:sz w:val="22"/>
                <w:szCs w:val="22"/>
              </w:rPr>
              <w:t>. </w:t>
            </w:r>
          </w:p>
          <w:p w:rsidR="00154A2C" w:rsidRPr="00B17FC9" w:rsidRDefault="000D6B45" w:rsidP="00154A2C">
            <w:pPr>
              <w:pStyle w:val="Body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 kan lägga</w:t>
            </w:r>
            <w:r w:rsidR="00154A2C" w:rsidRPr="00B17FC9">
              <w:rPr>
                <w:sz w:val="22"/>
                <w:szCs w:val="22"/>
              </w:rPr>
              <w:t xml:space="preserve"> till länkar till innehåll i kursen</w:t>
            </w:r>
            <w:r>
              <w:rPr>
                <w:sz w:val="22"/>
                <w:szCs w:val="22"/>
              </w:rPr>
              <w:t>, t.ex. till de aktuella aktiviteterna du vill påminna om,</w:t>
            </w:r>
            <w:r w:rsidR="00154A2C" w:rsidRPr="00B17FC9">
              <w:rPr>
                <w:sz w:val="22"/>
                <w:szCs w:val="22"/>
              </w:rPr>
              <w:t xml:space="preserve"> för att ytterligare bidra till förståelse. </w:t>
            </w:r>
            <w:r>
              <w:rPr>
                <w:sz w:val="22"/>
                <w:szCs w:val="22"/>
              </w:rPr>
              <w:t xml:space="preserve">Studenterna får då påminnelser i </w:t>
            </w:r>
            <w:proofErr w:type="spellStart"/>
            <w:r>
              <w:rPr>
                <w:sz w:val="22"/>
                <w:szCs w:val="22"/>
              </w:rPr>
              <w:t>mobilappen</w:t>
            </w:r>
            <w:proofErr w:type="spellEnd"/>
            <w:r>
              <w:rPr>
                <w:sz w:val="22"/>
                <w:szCs w:val="22"/>
              </w:rPr>
              <w:t xml:space="preserve"> för </w:t>
            </w:r>
            <w:proofErr w:type="spellStart"/>
            <w:r>
              <w:rPr>
                <w:sz w:val="22"/>
                <w:szCs w:val="22"/>
              </w:rPr>
              <w:t>Athena</w:t>
            </w:r>
            <w:proofErr w:type="spellEnd"/>
            <w:r w:rsidR="004F7E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eller via e-post (om de ställt in detta i sina individuella systeminställningar) om vad du förväntar dig att de ska göra.</w:t>
            </w:r>
          </w:p>
          <w:p w:rsidR="008459C9" w:rsidRDefault="008459C9" w:rsidP="008459C9">
            <w:pPr>
              <w:pStyle w:val="Body"/>
            </w:pPr>
          </w:p>
        </w:tc>
      </w:tr>
      <w:tr w:rsidR="00C34670" w:rsidRPr="004F7E27" w:rsidTr="00674F9F">
        <w:trPr>
          <w:trHeight w:val="494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</w:rPr>
              <w:lastRenderedPageBreak/>
              <w:t>Konsekvenser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Pr="00B17FC9" w:rsidRDefault="008459C9">
            <w:pPr>
              <w:pStyle w:val="Body"/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>Studenterna får hjälp att följa den tänkta studietakten och att hålla reda på de olika aktiviteterna (t.ex. inlämningsuppgifter eller seminarier)</w:t>
            </w:r>
            <w:r w:rsidR="00467025">
              <w:rPr>
                <w:sz w:val="22"/>
                <w:szCs w:val="22"/>
              </w:rPr>
              <w:t>, men det kräver att du också instruerar dem under kursens introduktion om hur du kommer skicka uppdateringar och var de kan hitta dem</w:t>
            </w:r>
            <w:r w:rsidRPr="00B17FC9">
              <w:rPr>
                <w:sz w:val="22"/>
                <w:szCs w:val="22"/>
              </w:rPr>
              <w:t xml:space="preserve">. </w:t>
            </w:r>
          </w:p>
          <w:p w:rsidR="00467025" w:rsidRDefault="00467025">
            <w:pPr>
              <w:pStyle w:val="Body"/>
              <w:rPr>
                <w:sz w:val="22"/>
                <w:szCs w:val="22"/>
              </w:rPr>
            </w:pPr>
          </w:p>
          <w:p w:rsidR="00551EF3" w:rsidRPr="00B17FC9" w:rsidRDefault="00551EF3">
            <w:pPr>
              <w:pStyle w:val="Body"/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Om du använder </w:t>
            </w:r>
            <w:r w:rsidR="00467025">
              <w:rPr>
                <w:sz w:val="22"/>
                <w:szCs w:val="22"/>
              </w:rPr>
              <w:t>”Planeringar” för att organisera kursen</w:t>
            </w:r>
            <w:r w:rsidRPr="00B17FC9">
              <w:rPr>
                <w:sz w:val="22"/>
                <w:szCs w:val="22"/>
              </w:rPr>
              <w:t xml:space="preserve"> </w:t>
            </w:r>
            <w:r w:rsidRPr="00B17FC9">
              <w:rPr>
                <w:sz w:val="22"/>
                <w:szCs w:val="22"/>
              </w:rPr>
              <w:sym w:font="Wingdings" w:char="F0E0"/>
            </w:r>
            <w:r w:rsidRPr="00B17FC9">
              <w:rPr>
                <w:sz w:val="22"/>
                <w:szCs w:val="22"/>
              </w:rPr>
              <w:t xml:space="preserve"> De manuella anslagen hamnar längre ner i flödet, men studenten får ändå specifika notifieringar om att du lagt upp dem.</w:t>
            </w:r>
          </w:p>
          <w:p w:rsidR="00467025" w:rsidRDefault="00467025">
            <w:pPr>
              <w:pStyle w:val="Body"/>
              <w:rPr>
                <w:sz w:val="22"/>
                <w:szCs w:val="22"/>
              </w:rPr>
            </w:pPr>
          </w:p>
          <w:p w:rsidR="00551EF3" w:rsidRPr="009B33BD" w:rsidRDefault="00551EF3">
            <w:pPr>
              <w:pStyle w:val="Body"/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Om du inte använder </w:t>
            </w:r>
            <w:r w:rsidR="00467025">
              <w:rPr>
                <w:sz w:val="22"/>
                <w:szCs w:val="22"/>
              </w:rPr>
              <w:t>”Planeringar” för att organisera kursen</w:t>
            </w:r>
            <w:r w:rsidRPr="00B17FC9">
              <w:rPr>
                <w:sz w:val="22"/>
                <w:szCs w:val="22"/>
              </w:rPr>
              <w:t xml:space="preserve"> </w:t>
            </w:r>
            <w:r w:rsidRPr="00B17FC9">
              <w:rPr>
                <w:sz w:val="22"/>
                <w:szCs w:val="22"/>
              </w:rPr>
              <w:sym w:font="Wingdings" w:char="F0E0"/>
            </w:r>
            <w:r w:rsidRPr="00B17FC9">
              <w:rPr>
                <w:sz w:val="22"/>
                <w:szCs w:val="22"/>
              </w:rPr>
              <w:t xml:space="preserve"> Är detta ett sätt att hjälpa studenten navigera</w:t>
            </w:r>
            <w:r w:rsidR="00A346BC">
              <w:rPr>
                <w:sz w:val="22"/>
                <w:szCs w:val="22"/>
              </w:rPr>
              <w:t xml:space="preserve"> om du använt t.ex. en mappstruktur under ”Innehåll” i </w:t>
            </w:r>
            <w:proofErr w:type="spellStart"/>
            <w:r w:rsidR="00A346BC">
              <w:rPr>
                <w:sz w:val="22"/>
                <w:szCs w:val="22"/>
              </w:rPr>
              <w:t>Athena</w:t>
            </w:r>
            <w:proofErr w:type="spellEnd"/>
            <w:r w:rsidR="00A346BC">
              <w:rPr>
                <w:sz w:val="22"/>
                <w:szCs w:val="22"/>
              </w:rPr>
              <w:t>, för att</w:t>
            </w:r>
            <w:r w:rsidRPr="00B17FC9">
              <w:rPr>
                <w:sz w:val="22"/>
                <w:szCs w:val="22"/>
              </w:rPr>
              <w:t xml:space="preserve"> komma ihåg inlämningsuppgifter</w:t>
            </w:r>
            <w:r w:rsidR="00A346BC">
              <w:rPr>
                <w:sz w:val="22"/>
                <w:szCs w:val="22"/>
              </w:rPr>
              <w:t xml:space="preserve"> eller annan aktivitet i kursen</w:t>
            </w:r>
            <w:r w:rsidRPr="00B17FC9">
              <w:rPr>
                <w:sz w:val="22"/>
                <w:szCs w:val="22"/>
              </w:rPr>
              <w:t>.</w:t>
            </w:r>
          </w:p>
        </w:tc>
      </w:tr>
      <w:tr w:rsidR="00C34670" w:rsidRPr="00154A2C" w:rsidTr="00B33804">
        <w:trPr>
          <w:trHeight w:val="37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</w:rPr>
              <w:t>System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Pr="00B17FC9" w:rsidRDefault="008459C9" w:rsidP="004844B9">
            <w:pPr>
              <w:pStyle w:val="Body"/>
              <w:rPr>
                <w:sz w:val="22"/>
                <w:szCs w:val="22"/>
              </w:rPr>
            </w:pPr>
            <w:proofErr w:type="spellStart"/>
            <w:r w:rsidRPr="00B17FC9">
              <w:rPr>
                <w:sz w:val="22"/>
                <w:szCs w:val="22"/>
              </w:rPr>
              <w:t>Athena</w:t>
            </w:r>
            <w:proofErr w:type="spellEnd"/>
            <w:r w:rsidR="00D46300" w:rsidRPr="00B17FC9">
              <w:rPr>
                <w:sz w:val="22"/>
                <w:szCs w:val="22"/>
              </w:rPr>
              <w:t xml:space="preserve"> </w:t>
            </w:r>
          </w:p>
        </w:tc>
      </w:tr>
      <w:tr w:rsidR="00C34670" w:rsidRPr="004F7E27" w:rsidTr="00B942A5">
        <w:trPr>
          <w:trHeight w:val="33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</w:rPr>
              <w:t>Övrigt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Pr="00B17FC9" w:rsidRDefault="008459C9">
            <w:pPr>
              <w:pStyle w:val="Body"/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Den här lösningen bygger på att läraren använder det förutbestämda arbetssättet i </w:t>
            </w:r>
            <w:proofErr w:type="spellStart"/>
            <w:r w:rsidRPr="00B17FC9">
              <w:rPr>
                <w:sz w:val="22"/>
                <w:szCs w:val="22"/>
              </w:rPr>
              <w:t>Athena</w:t>
            </w:r>
            <w:proofErr w:type="spellEnd"/>
            <w:r w:rsidRPr="00B17FC9">
              <w:rPr>
                <w:sz w:val="22"/>
                <w:szCs w:val="22"/>
              </w:rPr>
              <w:t xml:space="preserve">, där studenten kan följa </w:t>
            </w:r>
            <w:r w:rsidR="001F4EC1" w:rsidRPr="00B17FC9">
              <w:rPr>
                <w:sz w:val="22"/>
                <w:szCs w:val="22"/>
              </w:rPr>
              <w:t xml:space="preserve">översikter och uppdateringar som liknar ett sociala medier-flöde. Det kräver också att läraren kanske skissat på en kursplan innan </w:t>
            </w:r>
            <w:r w:rsidR="00467025">
              <w:rPr>
                <w:sz w:val="22"/>
                <w:szCs w:val="22"/>
              </w:rPr>
              <w:t>kursmaterialet</w:t>
            </w:r>
            <w:r w:rsidR="001F4EC1" w:rsidRPr="00B17FC9">
              <w:rPr>
                <w:sz w:val="22"/>
                <w:szCs w:val="22"/>
              </w:rPr>
              <w:t xml:space="preserve"> l</w:t>
            </w:r>
            <w:r w:rsidR="00467025">
              <w:rPr>
                <w:sz w:val="22"/>
                <w:szCs w:val="22"/>
              </w:rPr>
              <w:t xml:space="preserve">addas </w:t>
            </w:r>
            <w:r w:rsidR="001F4EC1" w:rsidRPr="00B17FC9">
              <w:rPr>
                <w:sz w:val="22"/>
                <w:szCs w:val="22"/>
              </w:rPr>
              <w:t xml:space="preserve">upp i </w:t>
            </w:r>
            <w:proofErr w:type="spellStart"/>
            <w:r w:rsidR="001F4EC1" w:rsidRPr="00B17FC9">
              <w:rPr>
                <w:sz w:val="22"/>
                <w:szCs w:val="22"/>
              </w:rPr>
              <w:t>Athena</w:t>
            </w:r>
            <w:proofErr w:type="spellEnd"/>
            <w:r w:rsidR="001F4EC1" w:rsidRPr="00B17FC9">
              <w:rPr>
                <w:sz w:val="22"/>
                <w:szCs w:val="22"/>
              </w:rPr>
              <w:t>.</w:t>
            </w:r>
          </w:p>
          <w:p w:rsidR="00467025" w:rsidRDefault="00467025">
            <w:pPr>
              <w:pStyle w:val="Body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Arbetssättet</w:t>
            </w:r>
            <w:r w:rsidR="008E127A" w:rsidRPr="00B17FC9">
              <w:rPr>
                <w:sz w:val="22"/>
                <w:szCs w:val="22"/>
              </w:rPr>
              <w:t xml:space="preserve"> torde underlätta genomströmning</w:t>
            </w:r>
            <w:r>
              <w:rPr>
                <w:sz w:val="22"/>
                <w:szCs w:val="22"/>
              </w:rPr>
              <w:t xml:space="preserve"> eftersom studenterna får hjälp att förstå lärarens förväntningar</w:t>
            </w:r>
            <w:r w:rsidR="008E127A" w:rsidRPr="00B17FC9">
              <w:rPr>
                <w:sz w:val="22"/>
                <w:szCs w:val="22"/>
              </w:rPr>
              <w:t>.</w:t>
            </w:r>
          </w:p>
          <w:p w:rsidR="008E127A" w:rsidRPr="00B17FC9" w:rsidRDefault="008E127A">
            <w:pPr>
              <w:pStyle w:val="Body"/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Lärarens roll blir enklare, eftersom det går att vägleda studenter </w:t>
            </w:r>
            <w:r w:rsidR="00467025">
              <w:rPr>
                <w:sz w:val="22"/>
                <w:szCs w:val="22"/>
              </w:rPr>
              <w:t>om upplägget via ”Planeringar”</w:t>
            </w:r>
            <w:r w:rsidRPr="00B17FC9">
              <w:rPr>
                <w:sz w:val="22"/>
                <w:szCs w:val="22"/>
              </w:rPr>
              <w:t xml:space="preserve"> </w:t>
            </w:r>
            <w:r w:rsidR="00467025">
              <w:rPr>
                <w:sz w:val="22"/>
                <w:szCs w:val="22"/>
              </w:rPr>
              <w:t>utan att behöva skriva långa instruktionsdokument.</w:t>
            </w:r>
          </w:p>
        </w:tc>
      </w:tr>
      <w:tr w:rsidR="00C34670" w:rsidRPr="00B17FC9" w:rsidTr="00B942A5">
        <w:trPr>
          <w:trHeight w:val="815"/>
        </w:trPr>
        <w:tc>
          <w:tcPr>
            <w:tcW w:w="19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Default="00D70315">
            <w:pPr>
              <w:pStyle w:val="Body"/>
            </w:pPr>
            <w:r>
              <w:rPr>
                <w:b/>
                <w:bCs/>
              </w:rPr>
              <w:t>Mönsterskapare och datum</w:t>
            </w:r>
          </w:p>
        </w:tc>
        <w:tc>
          <w:tcPr>
            <w:tcW w:w="708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670" w:rsidRPr="002C51DE" w:rsidRDefault="001F4EC1">
            <w:pPr>
              <w:pStyle w:val="Body"/>
              <w:rPr>
                <w:sz w:val="22"/>
                <w:szCs w:val="22"/>
              </w:rPr>
            </w:pPr>
            <w:r w:rsidRPr="00B17FC9">
              <w:rPr>
                <w:sz w:val="22"/>
                <w:szCs w:val="22"/>
              </w:rPr>
              <w:t xml:space="preserve">Sofie Wennström, Stockholms universitetsbibliotek, </w:t>
            </w:r>
            <w:hyperlink r:id="rId8" w:history="1">
              <w:r w:rsidRPr="00B17FC9">
                <w:rPr>
                  <w:rStyle w:val="Hyperlnk"/>
                  <w:sz w:val="22"/>
                  <w:szCs w:val="22"/>
                </w:rPr>
                <w:t>sofie.wennstrom@su.se</w:t>
              </w:r>
            </w:hyperlink>
            <w:r w:rsidRPr="00B17FC9">
              <w:rPr>
                <w:sz w:val="22"/>
                <w:szCs w:val="22"/>
              </w:rPr>
              <w:t xml:space="preserve">, </w:t>
            </w:r>
            <w:hyperlink r:id="rId9" w:history="1">
              <w:r w:rsidRPr="00B17FC9">
                <w:rPr>
                  <w:rStyle w:val="Hyperlnk"/>
                  <w:sz w:val="22"/>
                  <w:szCs w:val="22"/>
                </w:rPr>
                <w:t>https://orcid.org/0000-0003-1229-7019</w:t>
              </w:r>
            </w:hyperlink>
            <w:r w:rsidR="002C51DE">
              <w:rPr>
                <w:rStyle w:val="Hyperlnk"/>
                <w:sz w:val="22"/>
                <w:szCs w:val="22"/>
              </w:rPr>
              <w:t xml:space="preserve">. </w:t>
            </w:r>
            <w:r w:rsidR="002C51DE">
              <w:rPr>
                <w:rStyle w:val="Hyperlnk"/>
                <w:sz w:val="22"/>
                <w:szCs w:val="22"/>
                <w:u w:val="none"/>
              </w:rPr>
              <w:t>Mönster skapat 2018-08-28, reviderat 2019-02-23.</w:t>
            </w:r>
          </w:p>
        </w:tc>
      </w:tr>
    </w:tbl>
    <w:p w:rsidR="00C34670" w:rsidRDefault="00C34670">
      <w:pPr>
        <w:pStyle w:val="Body"/>
      </w:pPr>
    </w:p>
    <w:sectPr w:rsidR="00C34670">
      <w:headerReference w:type="default" r:id="rId10"/>
      <w:footerReference w:type="default" r:id="rId11"/>
      <w:pgSz w:w="11900" w:h="16840"/>
      <w:pgMar w:top="474" w:right="1417" w:bottom="1417" w:left="1417" w:header="132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A6D" w:rsidRDefault="007E4A6D">
      <w:r>
        <w:separator/>
      </w:r>
    </w:p>
  </w:endnote>
  <w:endnote w:type="continuationSeparator" w:id="0">
    <w:p w:rsidR="007E4A6D" w:rsidRDefault="007E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alatino">
    <w:altName w:val="Book Antiqua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670" w:rsidRDefault="00C34670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A6D" w:rsidRDefault="007E4A6D">
      <w:r>
        <w:separator/>
      </w:r>
    </w:p>
  </w:footnote>
  <w:footnote w:type="continuationSeparator" w:id="0">
    <w:p w:rsidR="007E4A6D" w:rsidRDefault="007E4A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4670" w:rsidRDefault="00C34670">
    <w:pPr>
      <w:pStyle w:val="Sidhuvud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C7382"/>
    <w:multiLevelType w:val="hybridMultilevel"/>
    <w:tmpl w:val="F0881F9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56107"/>
    <w:multiLevelType w:val="hybridMultilevel"/>
    <w:tmpl w:val="2090AA30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sv-SE" w:vendorID="64" w:dllVersion="4096" w:nlCheck="1" w:checkStyle="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670"/>
    <w:rsid w:val="00031B7D"/>
    <w:rsid w:val="00055AA6"/>
    <w:rsid w:val="000D6B45"/>
    <w:rsid w:val="00154A2C"/>
    <w:rsid w:val="001F4EC1"/>
    <w:rsid w:val="00276E96"/>
    <w:rsid w:val="002C51DE"/>
    <w:rsid w:val="00467025"/>
    <w:rsid w:val="004844B9"/>
    <w:rsid w:val="004F7E27"/>
    <w:rsid w:val="00551EF3"/>
    <w:rsid w:val="00607A7C"/>
    <w:rsid w:val="00614FEB"/>
    <w:rsid w:val="00634636"/>
    <w:rsid w:val="00674F9F"/>
    <w:rsid w:val="007E4A6D"/>
    <w:rsid w:val="008459C9"/>
    <w:rsid w:val="008A6C6A"/>
    <w:rsid w:val="008E127A"/>
    <w:rsid w:val="00972B68"/>
    <w:rsid w:val="009B33BD"/>
    <w:rsid w:val="00A346BC"/>
    <w:rsid w:val="00A37E00"/>
    <w:rsid w:val="00AE20AF"/>
    <w:rsid w:val="00B17FC9"/>
    <w:rsid w:val="00B33804"/>
    <w:rsid w:val="00B90D1D"/>
    <w:rsid w:val="00B942A5"/>
    <w:rsid w:val="00C17AB5"/>
    <w:rsid w:val="00C34670"/>
    <w:rsid w:val="00CE6466"/>
    <w:rsid w:val="00D46300"/>
    <w:rsid w:val="00D70315"/>
    <w:rsid w:val="00DB0AF8"/>
    <w:rsid w:val="00E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9486"/>
  <w15:docId w15:val="{7E117720-7CBB-4685-8BBE-79AAF2FA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sv-SE" w:eastAsia="sv-S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idhuvud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line="360" w:lineRule="auto"/>
    </w:pPr>
    <w:rPr>
      <w:rFonts w:ascii="Palatino" w:hAnsi="Palatino" w:cs="Arial Unicode MS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character" w:styleId="Olstomnmnande">
    <w:name w:val="Unresolved Mention"/>
    <w:basedOn w:val="Standardstycketeckensnitt"/>
    <w:uiPriority w:val="99"/>
    <w:semiHidden/>
    <w:unhideWhenUsed/>
    <w:rsid w:val="001F4E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ie.wennstrom@su.s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orcid.org/0000-0003-1229-7019" TargetMode="External"/></Relationships>
</file>

<file path=word/theme/theme1.xml><?xml version="1.0" encoding="utf-8"?>
<a:theme xmlns:a="http://schemas.openxmlformats.org/drawingml/2006/main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Designmönster: Ta makten över informationsflödet</vt:lpstr>
    </vt:vector>
  </TitlesOfParts>
  <Manager/>
  <Company>Stockholms universitet</Company>
  <LinksUpToDate>false</LinksUpToDate>
  <CharactersWithSpaces>3798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Designmönster: Ta makten över informationsflödet</dc:title>
  <dc:subject>Pedagogik, digital pedagogik, högskolepedagogik</dc:subject>
  <dc:creator>Sofie Wennström</dc:creator>
  <cp:keywords>designmönster, digital pedagogik, kommunikation, digital lärplattform</cp:keywords>
  <dc:description/>
  <cp:lastModifiedBy>Microsoft Office User</cp:lastModifiedBy>
  <cp:revision>7</cp:revision>
  <dcterms:created xsi:type="dcterms:W3CDTF">2019-02-23T13:04:00Z</dcterms:created>
  <dcterms:modified xsi:type="dcterms:W3CDTF">2019-04-05T14:09:00Z</dcterms:modified>
  <cp:category/>
</cp:coreProperties>
</file>